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5F70E" w14:textId="77777777" w:rsidR="007752AD" w:rsidRDefault="00000000">
      <w:pPr>
        <w:rPr>
          <w:rFonts w:ascii="黑体" w:eastAsia="黑体" w:hAnsi="黑体" w:cs="小标宋" w:hint="eastAsia"/>
          <w:sz w:val="28"/>
          <w:szCs w:val="28"/>
        </w:rPr>
      </w:pPr>
      <w:r>
        <w:rPr>
          <w:rFonts w:ascii="黑体" w:eastAsia="黑体" w:hAnsi="黑体" w:hint="eastAsia"/>
          <w:sz w:val="32"/>
          <w:szCs w:val="32"/>
        </w:rPr>
        <w:t>附件</w:t>
      </w:r>
      <w:r>
        <w:rPr>
          <w:rFonts w:ascii="黑体" w:eastAsia="黑体" w:hAnsi="黑体" w:hint="eastAsia"/>
          <w:sz w:val="28"/>
          <w:szCs w:val="28"/>
        </w:rPr>
        <w:t xml:space="preserve">  </w:t>
      </w:r>
      <w:r>
        <w:rPr>
          <w:rFonts w:ascii="黑体" w:eastAsia="黑体" w:hAnsi="黑体" w:cs="小标宋" w:hint="eastAsia"/>
          <w:sz w:val="28"/>
          <w:szCs w:val="28"/>
        </w:rPr>
        <w:t>第二十七届中国科协年会学术活动论文集模板</w:t>
      </w:r>
    </w:p>
    <w:p w14:paraId="0FE3B652" w14:textId="77777777" w:rsidR="007752AD" w:rsidRDefault="007752AD">
      <w:pPr>
        <w:adjustRightInd w:val="0"/>
        <w:snapToGrid w:val="0"/>
        <w:spacing w:beforeLines="100" w:before="312"/>
        <w:jc w:val="center"/>
        <w:rPr>
          <w:rFonts w:ascii="楷体" w:eastAsia="楷体" w:hAnsi="楷体" w:cs="楷体" w:hint="eastAsia"/>
          <w:sz w:val="32"/>
          <w:szCs w:val="32"/>
        </w:rPr>
      </w:pPr>
    </w:p>
    <w:p w14:paraId="2DD62049" w14:textId="77777777" w:rsidR="007752AD" w:rsidRDefault="00000000">
      <w:pPr>
        <w:adjustRightInd w:val="0"/>
        <w:snapToGrid w:val="0"/>
        <w:rPr>
          <w:rFonts w:ascii="宋体" w:hAnsi="宋体" w:hint="eastAsia"/>
          <w:b/>
          <w:sz w:val="36"/>
          <w:szCs w:val="36"/>
        </w:rPr>
      </w:pPr>
      <w:r>
        <w:rPr>
          <w:rFonts w:ascii="宋体" w:hAnsi="宋体" w:hint="eastAsia"/>
          <w:b/>
          <w:sz w:val="36"/>
          <w:szCs w:val="36"/>
        </w:rPr>
        <w:t>磁感应热疗联合</w:t>
      </w:r>
      <w:r>
        <w:rPr>
          <w:rFonts w:ascii="宋体" w:hAnsi="宋体" w:hint="eastAsia"/>
          <w:b/>
          <w:sz w:val="36"/>
          <w:szCs w:val="36"/>
          <w:vertAlign w:val="superscript"/>
        </w:rPr>
        <w:t>125</w:t>
      </w:r>
      <w:r>
        <w:rPr>
          <w:rFonts w:ascii="宋体" w:hAnsi="宋体" w:hint="eastAsia"/>
          <w:b/>
          <w:sz w:val="36"/>
          <w:szCs w:val="36"/>
        </w:rPr>
        <w:t>I</w:t>
      </w:r>
      <w:proofErr w:type="gramStart"/>
      <w:r>
        <w:rPr>
          <w:rFonts w:ascii="宋体" w:hAnsi="宋体" w:hint="eastAsia"/>
          <w:b/>
          <w:sz w:val="36"/>
          <w:szCs w:val="36"/>
        </w:rPr>
        <w:t>籽源近距离</w:t>
      </w:r>
      <w:proofErr w:type="gramEnd"/>
      <w:r>
        <w:rPr>
          <w:rFonts w:ascii="宋体" w:hAnsi="宋体" w:hint="eastAsia"/>
          <w:b/>
          <w:sz w:val="36"/>
          <w:szCs w:val="36"/>
        </w:rPr>
        <w:t>放疗的可行性</w:t>
      </w:r>
      <w:r>
        <w:rPr>
          <w:rStyle w:val="afd"/>
          <w:rFonts w:ascii="宋体" w:hAnsi="宋体" w:hint="eastAsia"/>
          <w:b/>
          <w:sz w:val="36"/>
          <w:szCs w:val="36"/>
        </w:rPr>
        <w:footnoteReference w:id="1"/>
      </w:r>
    </w:p>
    <w:p w14:paraId="0AA168B7" w14:textId="77777777" w:rsidR="007752AD" w:rsidRDefault="00000000">
      <w:pPr>
        <w:adjustRightInd w:val="0"/>
        <w:snapToGrid w:val="0"/>
        <w:spacing w:beforeLines="50" w:before="156" w:afterLines="50" w:after="156"/>
        <w:rPr>
          <w:rFonts w:ascii="宋体" w:hAnsi="宋体" w:hint="eastAsia"/>
          <w:bCs/>
          <w:sz w:val="24"/>
        </w:rPr>
      </w:pPr>
      <w:proofErr w:type="gramStart"/>
      <w:r>
        <w:rPr>
          <w:rFonts w:ascii="宋体" w:hAnsi="宋体" w:hint="eastAsia"/>
          <w:bCs/>
          <w:sz w:val="24"/>
        </w:rPr>
        <w:t>蔡</w:t>
      </w:r>
      <w:proofErr w:type="gramEnd"/>
      <w:r>
        <w:rPr>
          <w:rFonts w:ascii="宋体" w:hAnsi="宋体" w:hint="eastAsia"/>
          <w:bCs/>
          <w:sz w:val="24"/>
        </w:rPr>
        <w:t>**</w:t>
      </w:r>
      <w:r>
        <w:rPr>
          <w:rFonts w:ascii="宋体" w:hAnsi="宋体" w:hint="eastAsia"/>
          <w:bCs/>
          <w:sz w:val="24"/>
          <w:vertAlign w:val="superscript"/>
        </w:rPr>
        <w:t>1</w:t>
      </w:r>
      <w:r>
        <w:rPr>
          <w:rFonts w:ascii="宋体" w:hAnsi="宋体" w:hint="eastAsia"/>
          <w:bCs/>
          <w:sz w:val="24"/>
        </w:rPr>
        <w:t>，李</w:t>
      </w:r>
      <w:r>
        <w:rPr>
          <w:rFonts w:ascii="宋体" w:hAnsi="宋体" w:hint="eastAsia"/>
          <w:bCs/>
          <w:sz w:val="24"/>
        </w:rPr>
        <w:t xml:space="preserve"> *</w:t>
      </w:r>
      <w:r>
        <w:rPr>
          <w:rFonts w:ascii="宋体" w:hAnsi="宋体" w:hint="eastAsia"/>
          <w:bCs/>
          <w:sz w:val="24"/>
          <w:vertAlign w:val="superscript"/>
        </w:rPr>
        <w:t>2</w:t>
      </w:r>
      <w:r>
        <w:rPr>
          <w:rFonts w:ascii="宋体" w:hAnsi="宋体" w:hint="eastAsia"/>
          <w:bCs/>
          <w:sz w:val="24"/>
        </w:rPr>
        <w:t>，孔</w:t>
      </w:r>
      <w:r>
        <w:rPr>
          <w:rFonts w:ascii="宋体" w:hAnsi="宋体" w:hint="eastAsia"/>
          <w:bCs/>
          <w:sz w:val="24"/>
        </w:rPr>
        <w:t>**</w:t>
      </w:r>
      <w:r>
        <w:rPr>
          <w:rFonts w:ascii="宋体" w:hAnsi="宋体" w:hint="eastAsia"/>
          <w:bCs/>
          <w:sz w:val="24"/>
          <w:vertAlign w:val="superscript"/>
        </w:rPr>
        <w:t>3</w:t>
      </w:r>
      <w:r>
        <w:rPr>
          <w:rFonts w:ascii="宋体" w:hAnsi="宋体" w:hint="eastAsia"/>
          <w:bCs/>
          <w:sz w:val="24"/>
        </w:rPr>
        <w:t>，赵</w:t>
      </w:r>
      <w:r>
        <w:rPr>
          <w:rFonts w:ascii="宋体" w:hAnsi="宋体" w:hint="eastAsia"/>
          <w:bCs/>
          <w:sz w:val="24"/>
        </w:rPr>
        <w:t>**</w:t>
      </w:r>
      <w:r>
        <w:rPr>
          <w:rFonts w:ascii="宋体" w:hAnsi="宋体" w:hint="eastAsia"/>
          <w:bCs/>
          <w:sz w:val="24"/>
          <w:vertAlign w:val="superscript"/>
        </w:rPr>
        <w:t>1</w:t>
      </w:r>
      <w:r>
        <w:rPr>
          <w:rFonts w:ascii="宋体" w:hAnsi="宋体" w:hint="eastAsia"/>
          <w:bCs/>
          <w:sz w:val="24"/>
        </w:rPr>
        <w:t>，唐</w:t>
      </w:r>
      <w:r>
        <w:rPr>
          <w:rFonts w:ascii="宋体" w:hAnsi="宋体" w:hint="eastAsia"/>
          <w:bCs/>
          <w:sz w:val="24"/>
        </w:rPr>
        <w:t>**</w:t>
      </w:r>
      <w:r>
        <w:rPr>
          <w:rFonts w:ascii="宋体" w:hAnsi="宋体" w:hint="eastAsia"/>
          <w:bCs/>
          <w:sz w:val="24"/>
          <w:vertAlign w:val="superscript"/>
        </w:rPr>
        <w:t>1</w:t>
      </w:r>
    </w:p>
    <w:p w14:paraId="6D3ADFF0" w14:textId="77777777" w:rsidR="007752AD" w:rsidRDefault="00000000">
      <w:pPr>
        <w:adjustRightInd w:val="0"/>
        <w:snapToGrid w:val="0"/>
        <w:rPr>
          <w:rFonts w:ascii="楷体_GB2312" w:eastAsia="楷体_GB2312" w:hint="eastAsia"/>
          <w:szCs w:val="21"/>
        </w:rPr>
      </w:pPr>
      <w:r>
        <w:rPr>
          <w:rFonts w:ascii="楷体_GB2312" w:eastAsia="楷体_GB2312" w:hint="eastAsia"/>
          <w:szCs w:val="21"/>
        </w:rPr>
        <w:t>1.清华大学粒子技术与辐射成像教育部重点实验室，北京 100084</w:t>
      </w:r>
    </w:p>
    <w:p w14:paraId="06ADE184" w14:textId="77777777" w:rsidR="007752AD" w:rsidRDefault="00000000">
      <w:pPr>
        <w:adjustRightInd w:val="0"/>
        <w:snapToGrid w:val="0"/>
        <w:rPr>
          <w:rFonts w:ascii="楷体_GB2312" w:eastAsia="楷体_GB2312" w:hint="eastAsia"/>
          <w:szCs w:val="21"/>
        </w:rPr>
      </w:pPr>
      <w:r>
        <w:rPr>
          <w:rFonts w:ascii="楷体_GB2312" w:eastAsia="楷体_GB2312" w:hint="eastAsia"/>
          <w:szCs w:val="21"/>
        </w:rPr>
        <w:t>2.中南大学湘雅医院肿瘤科，长沙 410008</w:t>
      </w:r>
    </w:p>
    <w:p w14:paraId="57B14B03" w14:textId="77777777" w:rsidR="007752AD" w:rsidRDefault="00000000">
      <w:pPr>
        <w:adjustRightInd w:val="0"/>
        <w:snapToGrid w:val="0"/>
        <w:rPr>
          <w:rFonts w:ascii="楷体_GB2312" w:eastAsia="楷体_GB2312" w:hint="eastAsia"/>
          <w:szCs w:val="21"/>
        </w:rPr>
      </w:pPr>
      <w:r>
        <w:rPr>
          <w:rFonts w:ascii="楷体_GB2312" w:eastAsia="楷体_GB2312" w:hint="eastAsia"/>
          <w:szCs w:val="21"/>
        </w:rPr>
        <w:t>3.北京中医药大学</w:t>
      </w:r>
      <w:r>
        <w:rPr>
          <w:rFonts w:ascii="楷体_GB2312" w:eastAsia="楷体_GB2312" w:hAnsi="宋体" w:hint="eastAsia"/>
          <w:szCs w:val="21"/>
        </w:rPr>
        <w:t>中药学院</w:t>
      </w:r>
      <w:r>
        <w:rPr>
          <w:rFonts w:ascii="楷体_GB2312" w:eastAsia="楷体_GB2312" w:hint="eastAsia"/>
          <w:szCs w:val="21"/>
        </w:rPr>
        <w:t>，北京 100102</w:t>
      </w:r>
    </w:p>
    <w:p w14:paraId="4797858F" w14:textId="77777777" w:rsidR="007752AD" w:rsidRDefault="007752AD">
      <w:pPr>
        <w:adjustRightInd w:val="0"/>
        <w:snapToGrid w:val="0"/>
        <w:rPr>
          <w:rFonts w:ascii="黑体" w:eastAsia="黑体" w:hint="eastAsia"/>
          <w:szCs w:val="21"/>
        </w:rPr>
      </w:pPr>
    </w:p>
    <w:p w14:paraId="1AEBA621" w14:textId="77777777" w:rsidR="007752AD" w:rsidRDefault="00000000">
      <w:pPr>
        <w:adjustRightInd w:val="0"/>
        <w:snapToGrid w:val="0"/>
        <w:rPr>
          <w:rFonts w:hint="eastAsia"/>
          <w:sz w:val="18"/>
          <w:szCs w:val="18"/>
        </w:rPr>
      </w:pPr>
      <w:r>
        <w:rPr>
          <w:rFonts w:hAnsi="宋体"/>
          <w:b/>
          <w:sz w:val="18"/>
          <w:szCs w:val="18"/>
        </w:rPr>
        <w:t>摘要</w:t>
      </w:r>
      <w:r>
        <w:rPr>
          <w:sz w:val="18"/>
          <w:szCs w:val="18"/>
        </w:rPr>
        <w:t xml:space="preserve">  </w:t>
      </w:r>
      <w:r>
        <w:rPr>
          <w:rFonts w:hAnsi="宋体"/>
          <w:sz w:val="18"/>
          <w:szCs w:val="18"/>
        </w:rPr>
        <w:t>磁感应热疗植入合金热籽与</w:t>
      </w:r>
      <w:proofErr w:type="gramStart"/>
      <w:r>
        <w:rPr>
          <w:rFonts w:hAnsi="宋体"/>
          <w:sz w:val="18"/>
          <w:szCs w:val="18"/>
        </w:rPr>
        <w:t>放射籽源在</w:t>
      </w:r>
      <w:proofErr w:type="gramEnd"/>
      <w:r>
        <w:rPr>
          <w:rFonts w:hAnsi="宋体"/>
          <w:sz w:val="18"/>
          <w:szCs w:val="18"/>
        </w:rPr>
        <w:t>尺度上处于同一水平，当热籽和放射</w:t>
      </w:r>
      <w:proofErr w:type="gramStart"/>
      <w:r>
        <w:rPr>
          <w:rFonts w:hAnsi="宋体"/>
          <w:sz w:val="18"/>
          <w:szCs w:val="18"/>
        </w:rPr>
        <w:t>籽源同时</w:t>
      </w:r>
      <w:proofErr w:type="gramEnd"/>
      <w:r>
        <w:rPr>
          <w:rFonts w:hAnsi="宋体"/>
          <w:sz w:val="18"/>
          <w:szCs w:val="18"/>
        </w:rPr>
        <w:t>植入肿瘤组织，热场和辐射将共同作用于肿瘤细胞，提高肿瘤细胞的杀灭作用。本文应用电磁学理论计算射频磁场中热籽和</w:t>
      </w:r>
      <w:proofErr w:type="gramStart"/>
      <w:r>
        <w:rPr>
          <w:rFonts w:hAnsi="宋体"/>
          <w:sz w:val="18"/>
          <w:szCs w:val="18"/>
        </w:rPr>
        <w:t>放射籽源的</w:t>
      </w:r>
      <w:proofErr w:type="gramEnd"/>
      <w:r>
        <w:rPr>
          <w:rFonts w:hAnsi="宋体"/>
          <w:sz w:val="18"/>
          <w:szCs w:val="18"/>
        </w:rPr>
        <w:t>产热功率。将不同分布的热籽和</w:t>
      </w:r>
      <w:proofErr w:type="gramStart"/>
      <w:r>
        <w:rPr>
          <w:rFonts w:hAnsi="宋体"/>
          <w:sz w:val="18"/>
          <w:szCs w:val="18"/>
        </w:rPr>
        <w:t>放射籽源置于</w:t>
      </w:r>
      <w:proofErr w:type="gramEnd"/>
      <w:r>
        <w:rPr>
          <w:rFonts w:hAnsi="宋体"/>
          <w:sz w:val="18"/>
          <w:szCs w:val="18"/>
        </w:rPr>
        <w:t>磁感应设备射频磁场中，调节磁场参数，观察不同条件下的温升曲线。研究了</w:t>
      </w:r>
      <w:proofErr w:type="gramStart"/>
      <w:r>
        <w:rPr>
          <w:rFonts w:hAnsi="宋体"/>
          <w:sz w:val="18"/>
          <w:szCs w:val="18"/>
        </w:rPr>
        <w:t>放射籽源在</w:t>
      </w:r>
      <w:proofErr w:type="gramEnd"/>
      <w:r>
        <w:rPr>
          <w:rFonts w:hAnsi="宋体"/>
          <w:sz w:val="18"/>
          <w:szCs w:val="18"/>
        </w:rPr>
        <w:t>磁感应射频磁场下的升温情况以验证</w:t>
      </w:r>
      <w:proofErr w:type="gramStart"/>
      <w:r>
        <w:rPr>
          <w:rFonts w:hAnsi="宋体"/>
          <w:sz w:val="18"/>
          <w:szCs w:val="18"/>
        </w:rPr>
        <w:t>放射籽源的</w:t>
      </w:r>
      <w:proofErr w:type="gramEnd"/>
      <w:r>
        <w:rPr>
          <w:rFonts w:hAnsi="宋体"/>
          <w:sz w:val="18"/>
          <w:szCs w:val="18"/>
        </w:rPr>
        <w:t>安全性</w:t>
      </w:r>
      <w:r>
        <w:rPr>
          <w:rFonts w:hAnsi="宋体" w:hint="eastAsia"/>
          <w:sz w:val="18"/>
          <w:szCs w:val="18"/>
        </w:rPr>
        <w:t>、</w:t>
      </w:r>
      <w:r>
        <w:rPr>
          <w:rFonts w:hAnsi="宋体"/>
          <w:sz w:val="18"/>
          <w:szCs w:val="18"/>
        </w:rPr>
        <w:t>合金热籽与</w:t>
      </w:r>
      <w:proofErr w:type="gramStart"/>
      <w:r>
        <w:rPr>
          <w:rFonts w:hAnsi="宋体"/>
          <w:sz w:val="18"/>
          <w:szCs w:val="18"/>
        </w:rPr>
        <w:t>放射籽源混合</w:t>
      </w:r>
      <w:proofErr w:type="gramEnd"/>
      <w:r>
        <w:rPr>
          <w:rFonts w:hAnsi="宋体"/>
          <w:sz w:val="18"/>
          <w:szCs w:val="18"/>
        </w:rPr>
        <w:t>排布情况下的升温情况以验证联合治疗的有效性。理论计算和实验结果表明，</w:t>
      </w:r>
      <w:proofErr w:type="gramStart"/>
      <w:r>
        <w:rPr>
          <w:rFonts w:hAnsi="宋体"/>
          <w:sz w:val="18"/>
          <w:szCs w:val="18"/>
        </w:rPr>
        <w:t>放射籽源在</w:t>
      </w:r>
      <w:proofErr w:type="gramEnd"/>
      <w:r>
        <w:rPr>
          <w:rFonts w:hAnsi="宋体"/>
          <w:sz w:val="18"/>
          <w:szCs w:val="18"/>
        </w:rPr>
        <w:t>磁感应治疗射频磁场下（</w:t>
      </w:r>
      <w:r>
        <w:rPr>
          <w:sz w:val="18"/>
          <w:szCs w:val="18"/>
        </w:rPr>
        <w:t>50</w:t>
      </w:r>
      <w:r>
        <w:rPr>
          <w:rFonts w:hint="eastAsia"/>
          <w:sz w:val="18"/>
          <w:szCs w:val="18"/>
        </w:rPr>
        <w:t>~</w:t>
      </w:r>
      <w:r>
        <w:rPr>
          <w:sz w:val="18"/>
          <w:szCs w:val="18"/>
        </w:rPr>
        <w:t>500</w:t>
      </w:r>
      <w:r>
        <w:rPr>
          <w:rFonts w:hint="eastAsia"/>
          <w:sz w:val="18"/>
          <w:szCs w:val="18"/>
        </w:rPr>
        <w:t xml:space="preserve"> </w:t>
      </w:r>
      <w:r>
        <w:rPr>
          <w:sz w:val="18"/>
          <w:szCs w:val="18"/>
        </w:rPr>
        <w:t>kHz</w:t>
      </w:r>
      <w:r>
        <w:rPr>
          <w:rFonts w:hAnsi="宋体"/>
          <w:sz w:val="18"/>
          <w:szCs w:val="18"/>
        </w:rPr>
        <w:t>）磁热效应不显著，验证</w:t>
      </w:r>
      <w:r>
        <w:rPr>
          <w:rFonts w:hAnsi="宋体" w:hint="eastAsia"/>
          <w:sz w:val="18"/>
          <w:szCs w:val="18"/>
        </w:rPr>
        <w:t>了</w:t>
      </w:r>
      <w:r>
        <w:rPr>
          <w:rFonts w:hAnsi="宋体"/>
          <w:sz w:val="18"/>
          <w:szCs w:val="18"/>
        </w:rPr>
        <w:t>用于热放疗的安全性。将</w:t>
      </w:r>
      <w:proofErr w:type="gramStart"/>
      <w:r>
        <w:rPr>
          <w:rFonts w:hAnsi="宋体"/>
          <w:sz w:val="18"/>
          <w:szCs w:val="18"/>
        </w:rPr>
        <w:t>放射籽源与</w:t>
      </w:r>
      <w:proofErr w:type="gramEnd"/>
      <w:r>
        <w:rPr>
          <w:rFonts w:hAnsi="宋体"/>
          <w:sz w:val="18"/>
          <w:szCs w:val="18"/>
        </w:rPr>
        <w:t>热籽混合植入</w:t>
      </w:r>
      <w:proofErr w:type="gramStart"/>
      <w:r>
        <w:rPr>
          <w:rFonts w:hAnsi="宋体"/>
          <w:sz w:val="18"/>
          <w:szCs w:val="18"/>
        </w:rPr>
        <w:t>琼脂体模和</w:t>
      </w:r>
      <w:proofErr w:type="gramEnd"/>
      <w:r>
        <w:rPr>
          <w:rFonts w:hAnsi="宋体"/>
          <w:sz w:val="18"/>
          <w:szCs w:val="18"/>
        </w:rPr>
        <w:t>离体肌肉组织，在介质植入区域内温度均远超过</w:t>
      </w:r>
      <w:r>
        <w:rPr>
          <w:sz w:val="18"/>
          <w:szCs w:val="18"/>
        </w:rPr>
        <w:t>43</w:t>
      </w:r>
      <w:r>
        <w:rPr>
          <w:rFonts w:hint="eastAsia"/>
          <w:sz w:val="18"/>
          <w:szCs w:val="18"/>
        </w:rPr>
        <w:t xml:space="preserve"> </w:t>
      </w:r>
      <w:r>
        <w:rPr>
          <w:rFonts w:hAnsi="宋体"/>
          <w:sz w:val="18"/>
          <w:szCs w:val="18"/>
        </w:rPr>
        <w:t>℃</w:t>
      </w:r>
      <w:r>
        <w:rPr>
          <w:rFonts w:hAnsi="宋体"/>
          <w:sz w:val="18"/>
          <w:szCs w:val="18"/>
        </w:rPr>
        <w:t>，可实现植入区域</w:t>
      </w:r>
      <w:proofErr w:type="gramStart"/>
      <w:r>
        <w:rPr>
          <w:rFonts w:hAnsi="宋体"/>
          <w:sz w:val="18"/>
          <w:szCs w:val="18"/>
        </w:rPr>
        <w:t>内热疗对放疗</w:t>
      </w:r>
      <w:proofErr w:type="gramEnd"/>
      <w:r>
        <w:rPr>
          <w:rFonts w:hAnsi="宋体"/>
          <w:sz w:val="18"/>
          <w:szCs w:val="18"/>
        </w:rPr>
        <w:t>的增敏作用。</w:t>
      </w:r>
    </w:p>
    <w:p w14:paraId="5D50F808" w14:textId="77777777" w:rsidR="007752AD" w:rsidRDefault="00000000">
      <w:pPr>
        <w:adjustRightInd w:val="0"/>
        <w:snapToGrid w:val="0"/>
        <w:rPr>
          <w:rFonts w:hint="eastAsia"/>
          <w:sz w:val="18"/>
          <w:szCs w:val="18"/>
        </w:rPr>
      </w:pPr>
      <w:r>
        <w:rPr>
          <w:rFonts w:hAnsi="宋体"/>
          <w:b/>
          <w:sz w:val="18"/>
          <w:szCs w:val="18"/>
        </w:rPr>
        <w:t>关键词</w:t>
      </w:r>
      <w:r>
        <w:rPr>
          <w:sz w:val="18"/>
          <w:szCs w:val="18"/>
        </w:rPr>
        <w:t xml:space="preserve">  </w:t>
      </w:r>
      <w:r>
        <w:rPr>
          <w:rFonts w:hAnsi="宋体"/>
          <w:sz w:val="18"/>
          <w:szCs w:val="18"/>
        </w:rPr>
        <w:t>近距离放疗；磁感应热疗；热籽；放射籽源；琼脂体模</w:t>
      </w:r>
    </w:p>
    <w:p w14:paraId="06484604" w14:textId="77777777" w:rsidR="007752AD" w:rsidRDefault="007752AD">
      <w:pPr>
        <w:adjustRightInd w:val="0"/>
        <w:snapToGrid w:val="0"/>
        <w:rPr>
          <w:rFonts w:hint="eastAsia"/>
          <w:b/>
          <w:bCs/>
          <w:kern w:val="0"/>
          <w:sz w:val="18"/>
          <w:szCs w:val="18"/>
        </w:rPr>
      </w:pPr>
    </w:p>
    <w:p w14:paraId="1DB2CBA4" w14:textId="77777777" w:rsidR="007752AD" w:rsidRDefault="00000000">
      <w:pPr>
        <w:adjustRightInd w:val="0"/>
        <w:snapToGrid w:val="0"/>
        <w:rPr>
          <w:rFonts w:hint="eastAsia"/>
          <w:b/>
          <w:bCs/>
          <w:color w:val="000000"/>
          <w:kern w:val="0"/>
          <w:szCs w:val="21"/>
        </w:rPr>
      </w:pPr>
      <w:r>
        <w:rPr>
          <w:b/>
          <w:bCs/>
          <w:kern w:val="0"/>
          <w:sz w:val="32"/>
          <w:szCs w:val="32"/>
        </w:rPr>
        <w:t>Feasibility</w:t>
      </w:r>
      <w:r>
        <w:rPr>
          <w:rFonts w:hint="eastAsia"/>
          <w:b/>
          <w:bCs/>
          <w:kern w:val="0"/>
          <w:sz w:val="32"/>
          <w:szCs w:val="32"/>
        </w:rPr>
        <w:t xml:space="preserve"> </w:t>
      </w:r>
      <w:r>
        <w:rPr>
          <w:b/>
          <w:bCs/>
          <w:kern w:val="0"/>
          <w:sz w:val="32"/>
          <w:szCs w:val="32"/>
        </w:rPr>
        <w:t xml:space="preserve">of the </w:t>
      </w:r>
      <w:r>
        <w:rPr>
          <w:rFonts w:hint="eastAsia"/>
          <w:b/>
          <w:bCs/>
          <w:kern w:val="0"/>
          <w:sz w:val="32"/>
          <w:szCs w:val="32"/>
        </w:rPr>
        <w:t>m</w:t>
      </w:r>
      <w:r>
        <w:rPr>
          <w:b/>
          <w:bCs/>
          <w:kern w:val="0"/>
          <w:sz w:val="32"/>
          <w:szCs w:val="32"/>
        </w:rPr>
        <w:t xml:space="preserve">agnetic </w:t>
      </w:r>
      <w:r>
        <w:rPr>
          <w:rFonts w:hint="eastAsia"/>
          <w:b/>
          <w:bCs/>
          <w:kern w:val="0"/>
          <w:sz w:val="32"/>
          <w:szCs w:val="32"/>
        </w:rPr>
        <w:t>i</w:t>
      </w:r>
      <w:r>
        <w:rPr>
          <w:b/>
          <w:bCs/>
          <w:kern w:val="0"/>
          <w:sz w:val="32"/>
          <w:szCs w:val="32"/>
        </w:rPr>
        <w:t xml:space="preserve">nduction </w:t>
      </w:r>
      <w:r>
        <w:rPr>
          <w:rFonts w:hint="eastAsia"/>
          <w:b/>
          <w:bCs/>
          <w:kern w:val="0"/>
          <w:sz w:val="32"/>
          <w:szCs w:val="32"/>
        </w:rPr>
        <w:t>h</w:t>
      </w:r>
      <w:r>
        <w:rPr>
          <w:b/>
          <w:bCs/>
          <w:kern w:val="0"/>
          <w:sz w:val="32"/>
          <w:szCs w:val="32"/>
        </w:rPr>
        <w:t xml:space="preserve">yperthermia </w:t>
      </w:r>
      <w:r>
        <w:rPr>
          <w:rFonts w:hint="eastAsia"/>
          <w:b/>
          <w:bCs/>
          <w:kern w:val="0"/>
          <w:sz w:val="32"/>
          <w:szCs w:val="32"/>
        </w:rPr>
        <w:t>c</w:t>
      </w:r>
      <w:r>
        <w:rPr>
          <w:b/>
          <w:bCs/>
          <w:kern w:val="0"/>
          <w:sz w:val="32"/>
          <w:szCs w:val="32"/>
        </w:rPr>
        <w:t xml:space="preserve">ombined with </w:t>
      </w:r>
      <w:r>
        <w:rPr>
          <w:b/>
          <w:bCs/>
          <w:kern w:val="0"/>
          <w:sz w:val="32"/>
          <w:szCs w:val="32"/>
          <w:vertAlign w:val="superscript"/>
        </w:rPr>
        <w:t>125</w:t>
      </w:r>
      <w:r>
        <w:rPr>
          <w:b/>
          <w:bCs/>
          <w:kern w:val="0"/>
          <w:sz w:val="32"/>
          <w:szCs w:val="32"/>
        </w:rPr>
        <w:t xml:space="preserve">I </w:t>
      </w:r>
      <w:r>
        <w:rPr>
          <w:rFonts w:hint="eastAsia"/>
          <w:b/>
          <w:bCs/>
          <w:kern w:val="0"/>
          <w:sz w:val="32"/>
          <w:szCs w:val="32"/>
        </w:rPr>
        <w:t>b</w:t>
      </w:r>
      <w:r>
        <w:rPr>
          <w:b/>
          <w:bCs/>
          <w:kern w:val="0"/>
          <w:sz w:val="32"/>
          <w:szCs w:val="32"/>
        </w:rPr>
        <w:t>rachytherapy</w:t>
      </w:r>
    </w:p>
    <w:p w14:paraId="6F3B114A" w14:textId="77777777" w:rsidR="007752AD" w:rsidRDefault="00000000">
      <w:pPr>
        <w:pStyle w:val="a3"/>
        <w:rPr>
          <w:rFonts w:hint="eastAsia"/>
          <w:szCs w:val="21"/>
        </w:rPr>
      </w:pPr>
      <w:r>
        <w:rPr>
          <w:rFonts w:hint="eastAsia"/>
          <w:szCs w:val="21"/>
        </w:rPr>
        <w:t>CAI **</w:t>
      </w:r>
      <w:r>
        <w:rPr>
          <w:rFonts w:hint="eastAsia"/>
          <w:szCs w:val="21"/>
          <w:vertAlign w:val="superscript"/>
        </w:rPr>
        <w:t>1</w:t>
      </w:r>
      <w:r>
        <w:rPr>
          <w:rFonts w:hint="eastAsia"/>
          <w:szCs w:val="21"/>
        </w:rPr>
        <w:t>, LI *</w:t>
      </w:r>
      <w:r>
        <w:rPr>
          <w:rFonts w:hint="eastAsia"/>
          <w:szCs w:val="21"/>
          <w:vertAlign w:val="superscript"/>
        </w:rPr>
        <w:t>2</w:t>
      </w:r>
      <w:r>
        <w:rPr>
          <w:rFonts w:hint="eastAsia"/>
          <w:szCs w:val="21"/>
        </w:rPr>
        <w:t>, KONG **</w:t>
      </w:r>
      <w:r>
        <w:rPr>
          <w:rFonts w:hint="eastAsia"/>
          <w:szCs w:val="21"/>
          <w:vertAlign w:val="superscript"/>
        </w:rPr>
        <w:t>3</w:t>
      </w:r>
      <w:r>
        <w:rPr>
          <w:rFonts w:hint="eastAsia"/>
          <w:szCs w:val="21"/>
        </w:rPr>
        <w:t>, ZHAO **</w:t>
      </w:r>
      <w:r>
        <w:rPr>
          <w:rFonts w:hint="eastAsia"/>
          <w:szCs w:val="21"/>
          <w:vertAlign w:val="superscript"/>
        </w:rPr>
        <w:t>1</w:t>
      </w:r>
      <w:r>
        <w:rPr>
          <w:rFonts w:hint="eastAsia"/>
          <w:szCs w:val="21"/>
        </w:rPr>
        <w:t>, TANG **</w:t>
      </w:r>
      <w:r>
        <w:rPr>
          <w:rFonts w:hint="eastAsia"/>
          <w:szCs w:val="21"/>
          <w:vertAlign w:val="superscript"/>
        </w:rPr>
        <w:t>1</w:t>
      </w:r>
    </w:p>
    <w:p w14:paraId="4813455C" w14:textId="77777777" w:rsidR="007752AD" w:rsidRDefault="00000000">
      <w:pPr>
        <w:numPr>
          <w:ilvl w:val="0"/>
          <w:numId w:val="1"/>
        </w:numPr>
        <w:autoSpaceDE w:val="0"/>
        <w:autoSpaceDN w:val="0"/>
        <w:adjustRightInd w:val="0"/>
        <w:snapToGrid w:val="0"/>
        <w:ind w:left="263" w:hangingChars="125" w:hanging="263"/>
        <w:rPr>
          <w:rFonts w:hint="eastAsia"/>
          <w:kern w:val="0"/>
          <w:szCs w:val="21"/>
        </w:rPr>
      </w:pPr>
      <w:r>
        <w:rPr>
          <w:kern w:val="0"/>
          <w:szCs w:val="21"/>
        </w:rPr>
        <w:t xml:space="preserve">Key Laboratory </w:t>
      </w:r>
      <w:r>
        <w:rPr>
          <w:rFonts w:hint="eastAsia"/>
          <w:kern w:val="0"/>
          <w:szCs w:val="21"/>
        </w:rPr>
        <w:t xml:space="preserve">of </w:t>
      </w:r>
      <w:r>
        <w:rPr>
          <w:kern w:val="0"/>
          <w:szCs w:val="21"/>
        </w:rPr>
        <w:t>Particle &amp; Radiation Imaging, Ministry of Education,</w:t>
      </w:r>
      <w:r>
        <w:rPr>
          <w:rFonts w:hint="eastAsia"/>
          <w:kern w:val="0"/>
          <w:szCs w:val="21"/>
        </w:rPr>
        <w:t xml:space="preserve"> </w:t>
      </w:r>
      <w:r>
        <w:rPr>
          <w:kern w:val="0"/>
          <w:szCs w:val="21"/>
        </w:rPr>
        <w:t>Tsinghua University, Beijing 100084</w:t>
      </w:r>
      <w:r>
        <w:rPr>
          <w:rFonts w:hint="eastAsia"/>
          <w:kern w:val="0"/>
          <w:szCs w:val="21"/>
        </w:rPr>
        <w:t>, China</w:t>
      </w:r>
    </w:p>
    <w:p w14:paraId="2658AF78" w14:textId="77777777" w:rsidR="007752AD" w:rsidRDefault="00000000">
      <w:pPr>
        <w:numPr>
          <w:ilvl w:val="0"/>
          <w:numId w:val="1"/>
        </w:numPr>
        <w:autoSpaceDE w:val="0"/>
        <w:autoSpaceDN w:val="0"/>
        <w:adjustRightInd w:val="0"/>
        <w:snapToGrid w:val="0"/>
        <w:ind w:left="263" w:hangingChars="125" w:hanging="263"/>
        <w:rPr>
          <w:rFonts w:hint="eastAsia"/>
          <w:kern w:val="0"/>
          <w:szCs w:val="21"/>
        </w:rPr>
      </w:pPr>
      <w:r>
        <w:rPr>
          <w:rFonts w:hint="eastAsia"/>
          <w:kern w:val="0"/>
          <w:szCs w:val="21"/>
        </w:rPr>
        <w:t xml:space="preserve">Department of Oncology, </w:t>
      </w:r>
      <w:proofErr w:type="spellStart"/>
      <w:r>
        <w:rPr>
          <w:rFonts w:hint="eastAsia"/>
          <w:kern w:val="0"/>
          <w:szCs w:val="21"/>
        </w:rPr>
        <w:t>Xiangya</w:t>
      </w:r>
      <w:proofErr w:type="spellEnd"/>
      <w:r>
        <w:rPr>
          <w:rFonts w:hint="eastAsia"/>
          <w:kern w:val="0"/>
          <w:szCs w:val="21"/>
        </w:rPr>
        <w:t xml:space="preserve"> Hospital, Central South University, Changsha 410008, China</w:t>
      </w:r>
    </w:p>
    <w:p w14:paraId="3350484A" w14:textId="77777777" w:rsidR="007752AD" w:rsidRDefault="00000000">
      <w:pPr>
        <w:numPr>
          <w:ilvl w:val="0"/>
          <w:numId w:val="1"/>
        </w:numPr>
        <w:adjustRightInd w:val="0"/>
        <w:snapToGrid w:val="0"/>
        <w:ind w:left="263" w:hangingChars="125" w:hanging="263"/>
        <w:rPr>
          <w:rFonts w:hint="eastAsia"/>
        </w:rPr>
      </w:pPr>
      <w:r>
        <w:rPr>
          <w:rFonts w:hint="eastAsia"/>
          <w:kern w:val="0"/>
          <w:szCs w:val="21"/>
        </w:rPr>
        <w:t xml:space="preserve">School of Chinese Materia Medica, </w:t>
      </w:r>
      <w:r>
        <w:rPr>
          <w:kern w:val="0"/>
          <w:szCs w:val="21"/>
        </w:rPr>
        <w:t>Beijing University of Chinese Medicine, Beijing 100102, China</w:t>
      </w:r>
    </w:p>
    <w:p w14:paraId="29F2137B" w14:textId="77777777" w:rsidR="007752AD" w:rsidRDefault="007752AD">
      <w:pPr>
        <w:adjustRightInd w:val="0"/>
        <w:snapToGrid w:val="0"/>
        <w:rPr>
          <w:rFonts w:hint="eastAsia"/>
          <w:b/>
          <w:szCs w:val="21"/>
        </w:rPr>
      </w:pPr>
    </w:p>
    <w:p w14:paraId="46E20BEE" w14:textId="77777777" w:rsidR="007752AD" w:rsidRDefault="00000000">
      <w:pPr>
        <w:adjustRightInd w:val="0"/>
        <w:snapToGrid w:val="0"/>
        <w:rPr>
          <w:rFonts w:hint="eastAsia"/>
          <w:kern w:val="0"/>
          <w:szCs w:val="21"/>
        </w:rPr>
      </w:pPr>
      <w:proofErr w:type="gramStart"/>
      <w:r>
        <w:rPr>
          <w:rFonts w:hint="eastAsia"/>
          <w:b/>
          <w:szCs w:val="21"/>
        </w:rPr>
        <w:t>Abstract</w:t>
      </w:r>
      <w:r>
        <w:rPr>
          <w:rFonts w:hint="eastAsia"/>
          <w:szCs w:val="21"/>
        </w:rPr>
        <w:t xml:space="preserve">  </w:t>
      </w:r>
      <w:r>
        <w:rPr>
          <w:szCs w:val="21"/>
        </w:rPr>
        <w:t>Magnetic</w:t>
      </w:r>
      <w:proofErr w:type="gramEnd"/>
      <w:r>
        <w:rPr>
          <w:szCs w:val="21"/>
        </w:rPr>
        <w:t xml:space="preserve"> induction hyperthermia implanted alloy </w:t>
      </w:r>
      <w:proofErr w:type="spellStart"/>
      <w:r>
        <w:rPr>
          <w:szCs w:val="21"/>
        </w:rPr>
        <w:t>thermo</w:t>
      </w:r>
      <w:proofErr w:type="spellEnd"/>
      <w:r>
        <w:rPr>
          <w:szCs w:val="21"/>
        </w:rPr>
        <w:t xml:space="preserve"> seed and radiation seed are at the same level in the scale. When the </w:t>
      </w:r>
      <w:proofErr w:type="spellStart"/>
      <w:r>
        <w:rPr>
          <w:szCs w:val="21"/>
        </w:rPr>
        <w:t>thermo</w:t>
      </w:r>
      <w:proofErr w:type="spellEnd"/>
      <w:r>
        <w:rPr>
          <w:szCs w:val="21"/>
        </w:rPr>
        <w:t xml:space="preserve"> seed and radiation seed implant into the tumor tissue at the same time, thermal field and radiation will act together on the tumor cells, enhancing the destruction effect of tumor cell. </w:t>
      </w:r>
      <w:r>
        <w:rPr>
          <w:rFonts w:hint="eastAsia"/>
          <w:szCs w:val="21"/>
        </w:rPr>
        <w:t>T</w:t>
      </w:r>
      <w:r>
        <w:rPr>
          <w:szCs w:val="21"/>
        </w:rPr>
        <w:t xml:space="preserve">he electromagnetic theory </w:t>
      </w:r>
      <w:r>
        <w:rPr>
          <w:rFonts w:hint="eastAsia"/>
          <w:szCs w:val="21"/>
        </w:rPr>
        <w:t xml:space="preserve">was applied </w:t>
      </w:r>
      <w:r>
        <w:rPr>
          <w:szCs w:val="21"/>
        </w:rPr>
        <w:t xml:space="preserve">to calculate the heat production power of </w:t>
      </w:r>
      <w:proofErr w:type="spellStart"/>
      <w:r>
        <w:rPr>
          <w:szCs w:val="21"/>
        </w:rPr>
        <w:t>thermo</w:t>
      </w:r>
      <w:proofErr w:type="spellEnd"/>
      <w:r>
        <w:rPr>
          <w:szCs w:val="21"/>
        </w:rPr>
        <w:t xml:space="preserve"> seed and radiation seed in the RF magnetic field; and the </w:t>
      </w:r>
      <w:proofErr w:type="spellStart"/>
      <w:r>
        <w:rPr>
          <w:szCs w:val="21"/>
        </w:rPr>
        <w:t>thermo</w:t>
      </w:r>
      <w:proofErr w:type="spellEnd"/>
      <w:r>
        <w:rPr>
          <w:szCs w:val="21"/>
        </w:rPr>
        <w:t xml:space="preserve"> seed and radiation seed</w:t>
      </w:r>
      <w:r>
        <w:rPr>
          <w:rFonts w:hint="eastAsia"/>
          <w:szCs w:val="21"/>
        </w:rPr>
        <w:t xml:space="preserve"> were placed </w:t>
      </w:r>
      <w:r>
        <w:rPr>
          <w:szCs w:val="21"/>
        </w:rPr>
        <w:t xml:space="preserve">with different distribution into the RF magnetic field of the magnetic induction equipment, in order to examine the </w:t>
      </w:r>
      <w:proofErr w:type="gramStart"/>
      <w:r>
        <w:rPr>
          <w:szCs w:val="21"/>
        </w:rPr>
        <w:t>temperature</w:t>
      </w:r>
      <w:proofErr w:type="gramEnd"/>
      <w:r>
        <w:rPr>
          <w:szCs w:val="21"/>
        </w:rPr>
        <w:t xml:space="preserve"> rise curve under various conditions by adjusting the magnetic field parameters. </w:t>
      </w:r>
      <w:r>
        <w:rPr>
          <w:rFonts w:hint="eastAsia"/>
          <w:szCs w:val="21"/>
        </w:rPr>
        <w:t>T</w:t>
      </w:r>
      <w:r>
        <w:rPr>
          <w:szCs w:val="21"/>
        </w:rPr>
        <w:t xml:space="preserve">he heating </w:t>
      </w:r>
      <w:r>
        <w:rPr>
          <w:szCs w:val="21"/>
        </w:rPr>
        <w:lastRenderedPageBreak/>
        <w:t xml:space="preserve">effect of radiation seed in the RF magnetic field </w:t>
      </w:r>
      <w:r>
        <w:rPr>
          <w:rFonts w:hint="eastAsia"/>
          <w:szCs w:val="21"/>
        </w:rPr>
        <w:t xml:space="preserve">was studied </w:t>
      </w:r>
      <w:r>
        <w:rPr>
          <w:szCs w:val="21"/>
        </w:rPr>
        <w:t xml:space="preserve">in order to verify the safety of the radiation seed; </w:t>
      </w:r>
      <w:r>
        <w:rPr>
          <w:rFonts w:hint="eastAsia"/>
          <w:szCs w:val="21"/>
        </w:rPr>
        <w:t>and</w:t>
      </w:r>
      <w:r>
        <w:rPr>
          <w:szCs w:val="21"/>
        </w:rPr>
        <w:t xml:space="preserve"> the heating effect when alloy </w:t>
      </w:r>
      <w:proofErr w:type="spellStart"/>
      <w:r>
        <w:rPr>
          <w:szCs w:val="21"/>
        </w:rPr>
        <w:t>thermo</w:t>
      </w:r>
      <w:proofErr w:type="spellEnd"/>
      <w:r>
        <w:rPr>
          <w:szCs w:val="21"/>
        </w:rPr>
        <w:t xml:space="preserve"> seed and radiation seed </w:t>
      </w:r>
      <w:r>
        <w:rPr>
          <w:rFonts w:hint="eastAsia"/>
          <w:szCs w:val="21"/>
        </w:rPr>
        <w:t>were</w:t>
      </w:r>
      <w:r>
        <w:rPr>
          <w:szCs w:val="21"/>
        </w:rPr>
        <w:t xml:space="preserve"> in mixed configuration</w:t>
      </w:r>
      <w:r>
        <w:rPr>
          <w:rFonts w:hint="eastAsia"/>
          <w:szCs w:val="21"/>
        </w:rPr>
        <w:t xml:space="preserve"> was studied </w:t>
      </w:r>
      <w:r>
        <w:rPr>
          <w:szCs w:val="21"/>
        </w:rPr>
        <w:t xml:space="preserve">in order to verify the effectiveness of the combined therapy. </w:t>
      </w:r>
      <w:r>
        <w:rPr>
          <w:rFonts w:hint="eastAsia"/>
          <w:szCs w:val="21"/>
        </w:rPr>
        <w:t>T</w:t>
      </w:r>
      <w:r>
        <w:rPr>
          <w:szCs w:val="21"/>
        </w:rPr>
        <w:t>he theoretical calculations indicate that the magnetocaloric effect of radiation seed source in the RF magnetic field of magnetic induction therapy (50</w:t>
      </w:r>
      <w:r>
        <w:rPr>
          <w:rFonts w:hint="eastAsia"/>
          <w:szCs w:val="21"/>
        </w:rPr>
        <w:t>-</w:t>
      </w:r>
      <w:r>
        <w:rPr>
          <w:szCs w:val="21"/>
        </w:rPr>
        <w:t>500</w:t>
      </w:r>
      <w:r>
        <w:rPr>
          <w:rFonts w:hint="eastAsia"/>
          <w:szCs w:val="21"/>
        </w:rPr>
        <w:t xml:space="preserve"> </w:t>
      </w:r>
      <w:r>
        <w:rPr>
          <w:szCs w:val="21"/>
        </w:rPr>
        <w:t xml:space="preserve">kHz) </w:t>
      </w:r>
      <w:r>
        <w:rPr>
          <w:rFonts w:hint="eastAsia"/>
          <w:szCs w:val="21"/>
        </w:rPr>
        <w:t>is</w:t>
      </w:r>
      <w:r>
        <w:rPr>
          <w:szCs w:val="21"/>
        </w:rPr>
        <w:t xml:space="preserve"> not significant, and its safety of hyperthermia and radiotherapy ha</w:t>
      </w:r>
      <w:r>
        <w:rPr>
          <w:rFonts w:hint="eastAsia"/>
          <w:szCs w:val="21"/>
        </w:rPr>
        <w:t>d</w:t>
      </w:r>
      <w:r>
        <w:rPr>
          <w:szCs w:val="21"/>
        </w:rPr>
        <w:t xml:space="preserve"> been verified. When implanting radiation seed mixed with </w:t>
      </w:r>
      <w:proofErr w:type="spellStart"/>
      <w:r>
        <w:rPr>
          <w:szCs w:val="21"/>
        </w:rPr>
        <w:t>thermo</w:t>
      </w:r>
      <w:proofErr w:type="spellEnd"/>
      <w:r>
        <w:rPr>
          <w:szCs w:val="21"/>
        </w:rPr>
        <w:t xml:space="preserve"> seed into the agar </w:t>
      </w:r>
      <w:r>
        <w:rPr>
          <w:rFonts w:hint="eastAsia"/>
          <w:szCs w:val="21"/>
        </w:rPr>
        <w:t>model</w:t>
      </w:r>
      <w:r>
        <w:rPr>
          <w:szCs w:val="21"/>
        </w:rPr>
        <w:t xml:space="preserve"> and the muscle tissue in vitro, the temperature in the media implanted area is much higher than 43 degrees, realizing the sensibilization that hyperthermia has on radiotherapy in the implanted area.</w:t>
      </w:r>
    </w:p>
    <w:p w14:paraId="68F096C7" w14:textId="77777777" w:rsidR="007752AD" w:rsidRDefault="00000000">
      <w:pPr>
        <w:pStyle w:val="a3"/>
        <w:jc w:val="both"/>
        <w:rPr>
          <w:rFonts w:hint="eastAsia"/>
          <w:b/>
          <w:color w:val="000000"/>
          <w:szCs w:val="21"/>
        </w:rPr>
      </w:pPr>
      <w:proofErr w:type="gramStart"/>
      <w:r>
        <w:rPr>
          <w:b/>
          <w:szCs w:val="21"/>
        </w:rPr>
        <w:t>K</w:t>
      </w:r>
      <w:r>
        <w:rPr>
          <w:rFonts w:hint="eastAsia"/>
          <w:b/>
          <w:szCs w:val="21"/>
        </w:rPr>
        <w:t xml:space="preserve">eywords  </w:t>
      </w:r>
      <w:r>
        <w:rPr>
          <w:rFonts w:hint="eastAsia"/>
          <w:szCs w:val="21"/>
        </w:rPr>
        <w:t>b</w:t>
      </w:r>
      <w:r>
        <w:rPr>
          <w:szCs w:val="21"/>
        </w:rPr>
        <w:t>rachytherapy</w:t>
      </w:r>
      <w:proofErr w:type="gramEnd"/>
      <w:r>
        <w:rPr>
          <w:rFonts w:hint="eastAsia"/>
          <w:szCs w:val="21"/>
        </w:rPr>
        <w:t>; magnetic induction hyperthermia</w:t>
      </w:r>
      <w:r>
        <w:rPr>
          <w:rFonts w:hint="eastAsia"/>
          <w:kern w:val="0"/>
          <w:szCs w:val="21"/>
        </w:rPr>
        <w:t>;</w:t>
      </w:r>
      <w:r>
        <w:rPr>
          <w:rFonts w:hint="eastAsia"/>
          <w:szCs w:val="21"/>
        </w:rPr>
        <w:t xml:space="preserve"> </w:t>
      </w:r>
      <w:proofErr w:type="spellStart"/>
      <w:r>
        <w:rPr>
          <w:rFonts w:hint="eastAsia"/>
          <w:szCs w:val="21"/>
        </w:rPr>
        <w:t>thermoseed</w:t>
      </w:r>
      <w:proofErr w:type="spellEnd"/>
      <w:r>
        <w:rPr>
          <w:rFonts w:hint="eastAsia"/>
          <w:kern w:val="0"/>
          <w:szCs w:val="21"/>
        </w:rPr>
        <w:t xml:space="preserve">; </w:t>
      </w:r>
      <w:r>
        <w:rPr>
          <w:szCs w:val="21"/>
        </w:rPr>
        <w:t>radiation seed</w:t>
      </w:r>
      <w:r>
        <w:rPr>
          <w:rFonts w:hint="eastAsia"/>
          <w:kern w:val="0"/>
          <w:szCs w:val="21"/>
        </w:rPr>
        <w:t xml:space="preserve">; </w:t>
      </w:r>
      <w:r>
        <w:rPr>
          <w:kern w:val="0"/>
          <w:szCs w:val="21"/>
        </w:rPr>
        <w:t>agar model</w:t>
      </w:r>
    </w:p>
    <w:p w14:paraId="70D55104" w14:textId="77777777" w:rsidR="007752AD" w:rsidRDefault="007752AD">
      <w:pPr>
        <w:adjustRightInd w:val="0"/>
        <w:snapToGrid w:val="0"/>
        <w:ind w:firstLine="420"/>
        <w:rPr>
          <w:rFonts w:hint="eastAsia"/>
          <w:szCs w:val="21"/>
        </w:rPr>
      </w:pPr>
    </w:p>
    <w:p w14:paraId="429208E7" w14:textId="77777777" w:rsidR="007752AD" w:rsidRDefault="00000000">
      <w:pPr>
        <w:adjustRightInd w:val="0"/>
        <w:snapToGrid w:val="0"/>
        <w:ind w:firstLine="420"/>
        <w:rPr>
          <w:rFonts w:hint="eastAsia"/>
          <w:szCs w:val="21"/>
        </w:rPr>
      </w:pPr>
      <w:r>
        <w:rPr>
          <w:rFonts w:hint="eastAsia"/>
          <w:szCs w:val="21"/>
        </w:rPr>
        <w:t>近年来，</w:t>
      </w:r>
      <w:r>
        <w:rPr>
          <w:rFonts w:hint="eastAsia"/>
          <w:szCs w:val="21"/>
          <w:vertAlign w:val="superscript"/>
        </w:rPr>
        <w:t>125</w:t>
      </w:r>
      <w:r>
        <w:rPr>
          <w:rFonts w:hint="eastAsia"/>
          <w:szCs w:val="21"/>
        </w:rPr>
        <w:t>I</w:t>
      </w:r>
      <w:proofErr w:type="gramStart"/>
      <w:r>
        <w:rPr>
          <w:rFonts w:hint="eastAsia"/>
          <w:szCs w:val="21"/>
        </w:rPr>
        <w:t>籽源组织</w:t>
      </w:r>
      <w:proofErr w:type="gramEnd"/>
      <w:r>
        <w:rPr>
          <w:rFonts w:hint="eastAsia"/>
          <w:szCs w:val="21"/>
        </w:rPr>
        <w:t>间植入放疗作为一种新兴的放射治疗技术，被广泛地应用于临床恶性肿瘤的放射治疗</w:t>
      </w:r>
      <w:r>
        <w:rPr>
          <w:rFonts w:hint="eastAsia"/>
          <w:szCs w:val="21"/>
          <w:vertAlign w:val="superscript"/>
        </w:rPr>
        <w:t>[1-4]</w:t>
      </w:r>
      <w:r>
        <w:rPr>
          <w:rFonts w:hint="eastAsia"/>
          <w:szCs w:val="21"/>
        </w:rPr>
        <w:t>。通过手术把放射性核素放入肿瘤中，使肿瘤组织获得比周围正常组织高得多的剂量，这是肿瘤近距离放疗最大的优点，特别适合直径小于5 cm的肿瘤。目前常用的6711型</w:t>
      </w:r>
      <w:r>
        <w:rPr>
          <w:rFonts w:hint="eastAsia"/>
          <w:szCs w:val="21"/>
          <w:vertAlign w:val="superscript"/>
        </w:rPr>
        <w:t>125</w:t>
      </w:r>
      <w:r>
        <w:rPr>
          <w:rFonts w:hint="eastAsia"/>
          <w:szCs w:val="21"/>
        </w:rPr>
        <w:t>I</w:t>
      </w:r>
      <w:proofErr w:type="gramStart"/>
      <w:r>
        <w:rPr>
          <w:rFonts w:hint="eastAsia"/>
          <w:szCs w:val="21"/>
        </w:rPr>
        <w:t>籽源是</w:t>
      </w:r>
      <w:proofErr w:type="gramEnd"/>
      <w:r>
        <w:rPr>
          <w:rFonts w:hint="eastAsia"/>
          <w:szCs w:val="21"/>
        </w:rPr>
        <w:t>一种极为先进的微型密封放射源。它由一根银棒，吸附着的同位素</w:t>
      </w:r>
      <w:r>
        <w:rPr>
          <w:rFonts w:hint="eastAsia"/>
          <w:szCs w:val="21"/>
          <w:vertAlign w:val="superscript"/>
        </w:rPr>
        <w:t>125</w:t>
      </w:r>
      <w:r>
        <w:rPr>
          <w:rFonts w:hint="eastAsia"/>
          <w:szCs w:val="21"/>
        </w:rPr>
        <w:t>I及钛合金外壳组成，外形总长4.5 mm，圆柱型，直径0.8 mm。</w:t>
      </w:r>
    </w:p>
    <w:p w14:paraId="776C68E5" w14:textId="77777777" w:rsidR="007752AD" w:rsidRDefault="00000000">
      <w:pPr>
        <w:adjustRightInd w:val="0"/>
        <w:snapToGrid w:val="0"/>
        <w:ind w:firstLine="420"/>
        <w:rPr>
          <w:rFonts w:hint="eastAsia"/>
          <w:szCs w:val="21"/>
        </w:rPr>
      </w:pPr>
      <w:r>
        <w:rPr>
          <w:rFonts w:hint="eastAsia"/>
          <w:szCs w:val="21"/>
        </w:rPr>
        <w:t>在热放疗综合治疗的过程中，热疗可使肿瘤局部温度升高，氧含量增加，敏感期细胞增多，使放射线杀伤肿瘤细胞效果增强，同时可抑制放射线损伤的修复。热疗在放疗前、中、后期都起作用，热放疗同时进行效果最佳。磁感应热疗技术属于组织间植入热疗的一种，欧美、日本以及国内已有临床试验的报道</w:t>
      </w:r>
      <w:r>
        <w:rPr>
          <w:rFonts w:hint="eastAsia"/>
          <w:szCs w:val="21"/>
          <w:vertAlign w:val="superscript"/>
        </w:rPr>
        <w:t>[5-6]</w:t>
      </w:r>
      <w:r>
        <w:rPr>
          <w:rFonts w:hint="eastAsia"/>
          <w:szCs w:val="21"/>
        </w:rPr>
        <w:t>，由于该项技术可实现自控温、靶</w:t>
      </w:r>
      <w:proofErr w:type="gramStart"/>
      <w:r>
        <w:rPr>
          <w:rFonts w:hint="eastAsia"/>
          <w:szCs w:val="21"/>
        </w:rPr>
        <w:t>向治疗</w:t>
      </w:r>
      <w:proofErr w:type="gramEnd"/>
      <w:r>
        <w:rPr>
          <w:rFonts w:hint="eastAsia"/>
          <w:szCs w:val="21"/>
        </w:rPr>
        <w:t>并且临床效果较好，促进了其快速发展。近距离放疗联合射频、微波热疗已有报道用于肿瘤的实际治疗</w:t>
      </w:r>
      <w:r>
        <w:rPr>
          <w:rFonts w:hint="eastAsia"/>
          <w:szCs w:val="21"/>
          <w:vertAlign w:val="superscript"/>
        </w:rPr>
        <w:t>[7-8]</w:t>
      </w:r>
      <w:r>
        <w:rPr>
          <w:rFonts w:hint="eastAsia"/>
          <w:szCs w:val="21"/>
        </w:rPr>
        <w:t>，但磁感应热疗联合近距离放疗尚未见到报道。本文从理论上</w:t>
      </w:r>
      <w:proofErr w:type="gramStart"/>
      <w:r>
        <w:rPr>
          <w:rFonts w:hint="eastAsia"/>
          <w:szCs w:val="21"/>
        </w:rPr>
        <w:t>计算非</w:t>
      </w:r>
      <w:proofErr w:type="gramEnd"/>
      <w:r>
        <w:rPr>
          <w:rFonts w:hint="eastAsia"/>
          <w:szCs w:val="21"/>
        </w:rPr>
        <w:t>铁磁性</w:t>
      </w:r>
      <w:proofErr w:type="gramStart"/>
      <w:r>
        <w:rPr>
          <w:rFonts w:hint="eastAsia"/>
          <w:szCs w:val="21"/>
        </w:rPr>
        <w:t>放射籽源的</w:t>
      </w:r>
      <w:proofErr w:type="gramEnd"/>
      <w:r>
        <w:rPr>
          <w:rFonts w:hint="eastAsia"/>
          <w:szCs w:val="21"/>
        </w:rPr>
        <w:t>产热功率，</w:t>
      </w:r>
      <w:proofErr w:type="gramStart"/>
      <w:r>
        <w:rPr>
          <w:rFonts w:hint="eastAsia"/>
          <w:szCs w:val="21"/>
        </w:rPr>
        <w:t>通过体模实验</w:t>
      </w:r>
      <w:proofErr w:type="gramEnd"/>
      <w:r>
        <w:rPr>
          <w:rFonts w:hint="eastAsia"/>
          <w:szCs w:val="21"/>
        </w:rPr>
        <w:t>和离体肌肉组织实验验证</w:t>
      </w:r>
      <w:proofErr w:type="gramStart"/>
      <w:r>
        <w:rPr>
          <w:rFonts w:hint="eastAsia"/>
          <w:szCs w:val="21"/>
        </w:rPr>
        <w:t>放射籽源和</w:t>
      </w:r>
      <w:proofErr w:type="gramEnd"/>
      <w:r>
        <w:rPr>
          <w:rFonts w:hint="eastAsia"/>
          <w:szCs w:val="21"/>
        </w:rPr>
        <w:t>热</w:t>
      </w:r>
      <w:proofErr w:type="gramStart"/>
      <w:r>
        <w:rPr>
          <w:rFonts w:hint="eastAsia"/>
          <w:szCs w:val="21"/>
        </w:rPr>
        <w:t>籽不同</w:t>
      </w:r>
      <w:proofErr w:type="gramEnd"/>
      <w:r>
        <w:rPr>
          <w:rFonts w:hint="eastAsia"/>
          <w:szCs w:val="21"/>
        </w:rPr>
        <w:t>分布情况下的升温情况，为开展联合治疗及医学实验提供依据。</w:t>
      </w:r>
    </w:p>
    <w:p w14:paraId="15011760" w14:textId="77777777" w:rsidR="007752AD" w:rsidRDefault="007752AD">
      <w:pPr>
        <w:adjustRightInd w:val="0"/>
        <w:snapToGrid w:val="0"/>
        <w:rPr>
          <w:rFonts w:hint="eastAsia"/>
          <w:szCs w:val="21"/>
        </w:rPr>
      </w:pPr>
    </w:p>
    <w:p w14:paraId="65EA6CDA" w14:textId="77777777" w:rsidR="007752AD" w:rsidRDefault="00000000">
      <w:pPr>
        <w:pStyle w:val="afe"/>
        <w:adjustRightInd w:val="0"/>
        <w:snapToGrid w:val="0"/>
        <w:ind w:firstLineChars="0" w:firstLine="0"/>
        <w:rPr>
          <w:rFonts w:ascii="黑体" w:hAnsi="黑体" w:hint="eastAsia"/>
          <w:sz w:val="28"/>
          <w:szCs w:val="28"/>
        </w:rPr>
      </w:pPr>
      <w:r>
        <w:rPr>
          <w:rFonts w:ascii="黑体" w:eastAsia="黑体" w:hAnsi="黑体" w:hint="eastAsia"/>
          <w:sz w:val="28"/>
          <w:szCs w:val="28"/>
        </w:rPr>
        <w:t xml:space="preserve">1   </w:t>
      </w:r>
      <w:proofErr w:type="gramStart"/>
      <w:r>
        <w:rPr>
          <w:rFonts w:ascii="黑体" w:eastAsia="黑体" w:hAnsi="黑体" w:hint="eastAsia"/>
          <w:sz w:val="28"/>
          <w:szCs w:val="28"/>
        </w:rPr>
        <w:t>放射籽源产热</w:t>
      </w:r>
      <w:proofErr w:type="gramEnd"/>
      <w:r>
        <w:rPr>
          <w:rFonts w:ascii="黑体" w:eastAsia="黑体" w:hAnsi="黑体" w:hint="eastAsia"/>
          <w:sz w:val="28"/>
          <w:szCs w:val="28"/>
        </w:rPr>
        <w:t>功率理论计算</w:t>
      </w:r>
    </w:p>
    <w:p w14:paraId="6D5EE320" w14:textId="77777777" w:rsidR="007752AD" w:rsidRDefault="00000000">
      <w:pPr>
        <w:adjustRightInd w:val="0"/>
        <w:snapToGrid w:val="0"/>
        <w:ind w:firstLine="420"/>
        <w:rPr>
          <w:rFonts w:hint="eastAsia"/>
          <w:color w:val="FF0000"/>
        </w:rPr>
      </w:pPr>
      <w:r>
        <w:rPr>
          <w:rFonts w:hint="eastAsia"/>
          <w:color w:val="FF0000"/>
        </w:rPr>
        <w:t>……</w:t>
      </w:r>
    </w:p>
    <w:p w14:paraId="6C3C2D19" w14:textId="77777777" w:rsidR="007752AD" w:rsidRDefault="00000000">
      <w:pPr>
        <w:adjustRightInd w:val="0"/>
        <w:snapToGrid w:val="0"/>
        <w:ind w:firstLine="420"/>
        <w:rPr>
          <w:rFonts w:hint="eastAsia"/>
        </w:rPr>
      </w:pPr>
      <w:r>
        <w:t>磁场与热籽轴向平行情况下，介质内部轴向磁场满足标量条件下Helmholtz方</w:t>
      </w:r>
      <w:r>
        <w:rPr>
          <w:rFonts w:hint="eastAsia"/>
        </w:rPr>
        <w:t>程。基于以上假设可得到单位长度产热功率</w:t>
      </w:r>
      <w:r>
        <w:rPr>
          <w:rFonts w:hint="eastAsia"/>
          <w:i/>
        </w:rPr>
        <w:t>P</w:t>
      </w:r>
      <w:r>
        <w:rPr>
          <w:rFonts w:hint="eastAsia"/>
          <w:i/>
          <w:vertAlign w:val="subscript"/>
        </w:rPr>
        <w:t>u</w:t>
      </w:r>
      <w:r>
        <w:rPr>
          <w:rFonts w:hint="eastAsia"/>
        </w:rPr>
        <w:t>与热籽半径</w:t>
      </w:r>
      <w:r>
        <w:rPr>
          <w:i/>
        </w:rPr>
        <w:t>a</w:t>
      </w:r>
      <w:r>
        <w:rPr>
          <w:rFonts w:hint="eastAsia"/>
        </w:rPr>
        <w:t>、电导率</w:t>
      </w:r>
      <w:r>
        <w:rPr>
          <w:rFonts w:ascii="宋体" w:hAnsi="宋体" w:hint="eastAsia"/>
          <w:i/>
        </w:rPr>
        <w:t>σ</w:t>
      </w:r>
      <w:r>
        <w:rPr>
          <w:rFonts w:hint="eastAsia"/>
        </w:rPr>
        <w:t>、介电常数</w:t>
      </w:r>
      <w:r>
        <w:rPr>
          <w:rFonts w:ascii="宋体" w:hAnsi="宋体" w:hint="eastAsia"/>
          <w:i/>
        </w:rPr>
        <w:t>ε</w:t>
      </w:r>
      <w:r>
        <w:rPr>
          <w:rFonts w:hint="eastAsia"/>
        </w:rPr>
        <w:t>、磁导率</w:t>
      </w:r>
      <w:r>
        <w:rPr>
          <w:i/>
        </w:rPr>
        <w:t>μ</w:t>
      </w:r>
      <w:r>
        <w:rPr>
          <w:rFonts w:hint="eastAsia"/>
        </w:rPr>
        <w:t>、频率</w:t>
      </w:r>
      <w:r>
        <w:rPr>
          <w:i/>
        </w:rPr>
        <w:t>ω</w:t>
      </w:r>
      <w:r>
        <w:rPr>
          <w:rFonts w:hint="eastAsia"/>
        </w:rPr>
        <w:t>及介质表面的磁场强度</w:t>
      </w:r>
      <w:r>
        <w:rPr>
          <w:rFonts w:hint="eastAsia"/>
          <w:i/>
        </w:rPr>
        <w:t>H</w:t>
      </w:r>
      <w:r>
        <w:rPr>
          <w:rFonts w:hint="eastAsia"/>
          <w:vertAlign w:val="subscript"/>
        </w:rPr>
        <w:t>0</w:t>
      </w:r>
      <w:r>
        <w:rPr>
          <w:rFonts w:hint="eastAsia"/>
        </w:rPr>
        <w:t>的计算公式（3），推导过程见参考文献</w:t>
      </w:r>
      <w:r>
        <w:rPr>
          <w:vertAlign w:val="superscript"/>
        </w:rPr>
        <w:fldChar w:fldCharType="begin"/>
      </w:r>
      <w:r>
        <w:rPr>
          <w:vertAlign w:val="superscript"/>
        </w:rPr>
        <w:instrText xml:space="preserve"> </w:instrText>
      </w:r>
      <w:r>
        <w:rPr>
          <w:rFonts w:hint="eastAsia"/>
          <w:vertAlign w:val="superscript"/>
        </w:rPr>
        <w:instrText>REF _Ref329256185 \r \h</w:instrText>
      </w:r>
      <w:r>
        <w:rPr>
          <w:vertAlign w:val="superscript"/>
        </w:rPr>
        <w:instrText xml:space="preserve">  \* MERGEFORMAT </w:instrText>
      </w:r>
      <w:r>
        <w:rPr>
          <w:vertAlign w:val="superscript"/>
        </w:rPr>
      </w:r>
      <w:r>
        <w:rPr>
          <w:vertAlign w:val="superscript"/>
        </w:rPr>
        <w:fldChar w:fldCharType="separate"/>
      </w:r>
      <w:r>
        <w:rPr>
          <w:rFonts w:hint="eastAsia"/>
          <w:b/>
          <w:bCs/>
          <w:vertAlign w:val="superscript"/>
        </w:rPr>
        <w:t>错误!未找到引用源。</w:t>
      </w:r>
      <w:r>
        <w:rPr>
          <w:vertAlign w:val="superscript"/>
        </w:rPr>
        <w:fldChar w:fldCharType="end"/>
      </w:r>
      <w:r>
        <w:rPr>
          <w:rFonts w:hint="eastAsia"/>
        </w:rPr>
        <w:t>：</w:t>
      </w:r>
    </w:p>
    <w:p w14:paraId="5B9AF644" w14:textId="77777777" w:rsidR="007752AD" w:rsidRDefault="00000000">
      <w:pPr>
        <w:pStyle w:val="aff1"/>
        <w:adjustRightInd w:val="0"/>
        <w:snapToGrid w:val="0"/>
        <w:jc w:val="left"/>
        <w:rPr>
          <w:sz w:val="30"/>
        </w:rPr>
      </w:pPr>
      <w:r>
        <w:rPr>
          <w:rFonts w:hint="eastAsia"/>
          <w:position w:val="-14"/>
        </w:rPr>
        <w:tab/>
      </w:r>
      <w:r>
        <w:rPr>
          <w:position w:val="-12"/>
        </w:rPr>
        <w:object w:dxaOrig="2141" w:dyaOrig="401" w14:anchorId="04CDC8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15pt;height:20.15pt" o:ole="">
            <v:imagedata r:id="rId9" o:title=""/>
          </v:shape>
          <o:OLEObject Type="Embed" ProgID="Equation.DSMT4" ShapeID="_x0000_i1025" DrawAspect="Content" ObjectID="_1805029616" r:id="rId10"/>
        </w:object>
      </w:r>
      <w:r>
        <w:rPr>
          <w:rFonts w:hint="eastAsia"/>
          <w:position w:val="-14"/>
        </w:rPr>
        <w:tab/>
      </w:r>
      <w:r>
        <w:rPr>
          <w:rStyle w:val="Char"/>
          <w:rFonts w:ascii="Times New Roman" w:hAnsi="Times New Roman" w:hint="eastAsia"/>
        </w:rPr>
        <w:t>（</w:t>
      </w:r>
      <w:r>
        <w:rPr>
          <w:rStyle w:val="Char"/>
          <w:rFonts w:ascii="Times New Roman" w:hAnsi="Times New Roman" w:hint="eastAsia"/>
        </w:rPr>
        <w:t>3</w:t>
      </w:r>
      <w:r>
        <w:rPr>
          <w:rStyle w:val="Char"/>
          <w:rFonts w:ascii="Times New Roman" w:hAnsi="Times New Roman" w:hint="eastAsia"/>
        </w:rPr>
        <w:t>）</w:t>
      </w:r>
    </w:p>
    <w:p w14:paraId="62E674FA" w14:textId="77777777" w:rsidR="007752AD" w:rsidRDefault="00000000">
      <w:pPr>
        <w:adjustRightInd w:val="0"/>
        <w:snapToGrid w:val="0"/>
        <w:rPr>
          <w:rFonts w:hint="eastAsia"/>
          <w:szCs w:val="21"/>
        </w:rPr>
      </w:pPr>
      <w:r>
        <w:rPr>
          <w:rFonts w:hint="eastAsia"/>
          <w:szCs w:val="21"/>
        </w:rPr>
        <w:t>其中</w:t>
      </w:r>
    </w:p>
    <w:p w14:paraId="3E2298B3" w14:textId="77777777" w:rsidR="007752AD" w:rsidRDefault="00000000">
      <w:pPr>
        <w:pStyle w:val="aff1"/>
        <w:adjustRightInd w:val="0"/>
        <w:snapToGrid w:val="0"/>
        <w:jc w:val="left"/>
        <w:rPr>
          <w:position w:val="-10"/>
        </w:rPr>
      </w:pPr>
      <w:r>
        <w:rPr>
          <w:rFonts w:ascii="Times New Roman" w:hAnsi="Times New Roman" w:hint="eastAsia"/>
        </w:rPr>
        <w:tab/>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end"/>
      </w:r>
      <w:r>
        <w:rPr>
          <w:position w:val="-32"/>
        </w:rPr>
        <w:object w:dxaOrig="6017" w:dyaOrig="733" w14:anchorId="659C8AFA">
          <v:shape id="_x0000_i1026" type="#_x0000_t75" style="width:300.85pt;height:36.85pt" o:ole="">
            <v:imagedata r:id="rId11" o:title=""/>
          </v:shape>
          <o:OLEObject Type="Embed" ProgID="Equation.DSMT4" ShapeID="_x0000_i1026" DrawAspect="Content" ObjectID="_1805029617" r:id="rId12"/>
        </w:object>
      </w:r>
      <w:r>
        <w:rPr>
          <w:rFonts w:hint="eastAsia"/>
          <w:position w:val="-10"/>
        </w:rPr>
        <w:tab/>
      </w:r>
      <w:r>
        <w:rPr>
          <w:rStyle w:val="Char"/>
          <w:rFonts w:ascii="Times New Roman" w:hAnsi="Times New Roman" w:hint="eastAsia"/>
        </w:rPr>
        <w:t>（</w:t>
      </w:r>
      <w:r>
        <w:rPr>
          <w:rStyle w:val="Char"/>
          <w:rFonts w:ascii="Times New Roman" w:hAnsi="Times New Roman" w:hint="eastAsia"/>
        </w:rPr>
        <w:t>4</w:t>
      </w:r>
      <w:r>
        <w:rPr>
          <w:rStyle w:val="Char"/>
          <w:rFonts w:ascii="Times New Roman" w:hAnsi="Times New Roman" w:hint="eastAsia"/>
        </w:rPr>
        <w:t>）</w:t>
      </w:r>
    </w:p>
    <w:p w14:paraId="5048EADC" w14:textId="77777777" w:rsidR="007752AD" w:rsidRDefault="00000000">
      <w:pPr>
        <w:adjustRightInd w:val="0"/>
        <w:snapToGrid w:val="0"/>
        <w:ind w:firstLineChars="200" w:firstLine="420"/>
        <w:rPr>
          <w:rFonts w:hint="eastAsia"/>
          <w:color w:val="FF0000"/>
        </w:rPr>
      </w:pPr>
      <w:r>
        <w:rPr>
          <w:rFonts w:hint="eastAsia"/>
          <w:color w:val="FF0000"/>
        </w:rPr>
        <w:t>……</w:t>
      </w:r>
    </w:p>
    <w:p w14:paraId="1866DFFA" w14:textId="77777777" w:rsidR="007752AD" w:rsidRDefault="00000000">
      <w:pPr>
        <w:adjustRightInd w:val="0"/>
        <w:snapToGrid w:val="0"/>
        <w:ind w:firstLine="360"/>
        <w:rPr>
          <w:rFonts w:hint="eastAsia"/>
        </w:rPr>
      </w:pPr>
      <w:r>
        <w:rPr>
          <w:rFonts w:hint="eastAsia"/>
        </w:rPr>
        <w:t>依据式（3），选取交变磁场频率为</w:t>
      </w:r>
      <w:r>
        <w:t>500</w:t>
      </w:r>
      <w:r>
        <w:rPr>
          <w:rFonts w:hint="eastAsia"/>
        </w:rPr>
        <w:t xml:space="preserve"> </w:t>
      </w:r>
      <w:r>
        <w:t>kHz</w:t>
      </w:r>
      <w:r>
        <w:rPr>
          <w:rFonts w:hint="eastAsia"/>
        </w:rPr>
        <w:t>，得到不同磁场强度下单位长度热籽和</w:t>
      </w:r>
      <w:proofErr w:type="gramStart"/>
      <w:r>
        <w:rPr>
          <w:rFonts w:hint="eastAsia"/>
        </w:rPr>
        <w:t>放射籽源的</w:t>
      </w:r>
      <w:proofErr w:type="gramEnd"/>
      <w:r>
        <w:rPr>
          <w:rFonts w:hint="eastAsia"/>
        </w:rPr>
        <w:t>产热功率见</w:t>
      </w:r>
      <w:r>
        <w:t>表2</w:t>
      </w:r>
      <w:r>
        <w:rPr>
          <w:rFonts w:hint="eastAsia"/>
        </w:rPr>
        <w:t>。</w:t>
      </w:r>
    </w:p>
    <w:p w14:paraId="3DAB3C6F" w14:textId="77777777" w:rsidR="007752AD" w:rsidRDefault="00000000">
      <w:pPr>
        <w:adjustRightInd w:val="0"/>
        <w:snapToGrid w:val="0"/>
        <w:spacing w:afterLines="25" w:after="78"/>
        <w:jc w:val="center"/>
        <w:rPr>
          <w:rFonts w:ascii="黑体" w:eastAsia="黑体" w:hAnsi="黑体" w:hint="eastAsia"/>
          <w:sz w:val="18"/>
          <w:szCs w:val="18"/>
        </w:rPr>
      </w:pPr>
      <w:r>
        <w:rPr>
          <w:rFonts w:ascii="黑体" w:eastAsia="黑体" w:hAnsi="黑体" w:hint="eastAsia"/>
          <w:sz w:val="18"/>
          <w:szCs w:val="18"/>
        </w:rPr>
        <w:t xml:space="preserve">表2   </w:t>
      </w:r>
      <w:r>
        <w:rPr>
          <w:rFonts w:eastAsia="黑体" w:hint="eastAsia"/>
          <w:sz w:val="18"/>
          <w:szCs w:val="18"/>
        </w:rPr>
        <w:t>产热功率计算结果</w:t>
      </w:r>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912"/>
        <w:gridCol w:w="2027"/>
        <w:gridCol w:w="2553"/>
      </w:tblGrid>
      <w:tr w:rsidR="007752AD" w14:paraId="02BAAE3B" w14:textId="77777777">
        <w:trPr>
          <w:jc w:val="center"/>
        </w:trPr>
        <w:tc>
          <w:tcPr>
            <w:tcW w:w="1912" w:type="dxa"/>
            <w:tcBorders>
              <w:top w:val="single" w:sz="12" w:space="0" w:color="auto"/>
              <w:bottom w:val="single" w:sz="12" w:space="0" w:color="auto"/>
              <w:right w:val="nil"/>
            </w:tcBorders>
          </w:tcPr>
          <w:p w14:paraId="6D3A3428" w14:textId="77777777" w:rsidR="007752AD" w:rsidRDefault="00000000">
            <w:pPr>
              <w:adjustRightInd w:val="0"/>
              <w:snapToGrid w:val="0"/>
              <w:jc w:val="center"/>
              <w:rPr>
                <w:rFonts w:eastAsia="黑体" w:hint="eastAsia"/>
                <w:sz w:val="18"/>
                <w:szCs w:val="18"/>
              </w:rPr>
            </w:pPr>
            <w:r>
              <w:rPr>
                <w:rFonts w:ascii="宋体" w:hAnsi="宋体"/>
                <w:sz w:val="18"/>
                <w:szCs w:val="18"/>
              </w:rPr>
              <w:t>磁场强</w:t>
            </w:r>
            <w:r>
              <w:rPr>
                <w:rFonts w:ascii="宋体" w:hAnsi="宋体" w:hint="eastAsia"/>
                <w:sz w:val="18"/>
                <w:szCs w:val="18"/>
              </w:rPr>
              <w:t>度</w:t>
            </w:r>
            <w:r>
              <w:rPr>
                <w:rFonts w:ascii="宋体" w:hAnsi="宋体" w:hint="eastAsia"/>
                <w:sz w:val="18"/>
                <w:szCs w:val="18"/>
              </w:rPr>
              <w:t>/</w:t>
            </w:r>
            <w:r>
              <w:rPr>
                <w:rFonts w:eastAsia="黑体"/>
                <w:sz w:val="18"/>
                <w:szCs w:val="18"/>
              </w:rPr>
              <w:t>kA</w:t>
            </w:r>
            <w:r>
              <w:rPr>
                <w:b/>
                <w:bCs/>
                <w:color w:val="000000"/>
                <w:sz w:val="18"/>
                <w:szCs w:val="18"/>
              </w:rPr>
              <w:t>·</w:t>
            </w:r>
            <w:r>
              <w:rPr>
                <w:rFonts w:eastAsia="黑体"/>
                <w:sz w:val="18"/>
                <w:szCs w:val="18"/>
              </w:rPr>
              <w:t>m</w:t>
            </w:r>
            <w:r>
              <w:rPr>
                <w:rFonts w:eastAsia="黑体" w:hint="eastAsia"/>
                <w:sz w:val="18"/>
                <w:szCs w:val="18"/>
                <w:vertAlign w:val="superscript"/>
              </w:rPr>
              <w:t>-1</w:t>
            </w:r>
            <w:r>
              <w:rPr>
                <w:rFonts w:eastAsia="黑体" w:hint="eastAsia"/>
                <w:sz w:val="18"/>
                <w:szCs w:val="18"/>
              </w:rPr>
              <w:t>）</w:t>
            </w:r>
          </w:p>
        </w:tc>
        <w:tc>
          <w:tcPr>
            <w:tcW w:w="2027" w:type="dxa"/>
            <w:tcBorders>
              <w:top w:val="single" w:sz="12" w:space="0" w:color="auto"/>
              <w:left w:val="nil"/>
              <w:bottom w:val="single" w:sz="12" w:space="0" w:color="auto"/>
              <w:right w:val="nil"/>
            </w:tcBorders>
          </w:tcPr>
          <w:p w14:paraId="6CEFC775" w14:textId="77777777" w:rsidR="007752AD" w:rsidRDefault="00000000">
            <w:pPr>
              <w:adjustRightInd w:val="0"/>
              <w:snapToGrid w:val="0"/>
              <w:jc w:val="center"/>
              <w:rPr>
                <w:rFonts w:eastAsia="黑体" w:hint="eastAsia"/>
                <w:sz w:val="18"/>
                <w:szCs w:val="18"/>
              </w:rPr>
            </w:pPr>
            <w:r>
              <w:rPr>
                <w:sz w:val="18"/>
                <w:szCs w:val="18"/>
              </w:rPr>
              <w:t>热籽产热功率</w:t>
            </w:r>
            <w:r>
              <w:rPr>
                <w:rFonts w:hint="eastAsia"/>
                <w:sz w:val="18"/>
                <w:szCs w:val="18"/>
              </w:rPr>
              <w:t>/（</w:t>
            </w:r>
            <w:r>
              <w:rPr>
                <w:sz w:val="18"/>
                <w:szCs w:val="18"/>
              </w:rPr>
              <w:t>W</w:t>
            </w:r>
            <w:r>
              <w:rPr>
                <w:b/>
                <w:bCs/>
                <w:color w:val="000000"/>
                <w:sz w:val="18"/>
                <w:szCs w:val="18"/>
              </w:rPr>
              <w:t>·</w:t>
            </w:r>
            <w:r>
              <w:rPr>
                <w:rFonts w:eastAsia="黑体"/>
                <w:sz w:val="18"/>
                <w:szCs w:val="18"/>
              </w:rPr>
              <w:t>m</w:t>
            </w:r>
            <w:r>
              <w:rPr>
                <w:rFonts w:eastAsia="黑体" w:hint="eastAsia"/>
                <w:sz w:val="18"/>
                <w:szCs w:val="18"/>
                <w:vertAlign w:val="superscript"/>
              </w:rPr>
              <w:t>-1</w:t>
            </w:r>
            <w:r>
              <w:rPr>
                <w:rFonts w:eastAsia="黑体" w:hint="eastAsia"/>
                <w:sz w:val="18"/>
                <w:szCs w:val="18"/>
              </w:rPr>
              <w:t>）</w:t>
            </w:r>
          </w:p>
        </w:tc>
        <w:tc>
          <w:tcPr>
            <w:tcW w:w="2553" w:type="dxa"/>
            <w:tcBorders>
              <w:top w:val="single" w:sz="12" w:space="0" w:color="auto"/>
              <w:left w:val="nil"/>
              <w:bottom w:val="single" w:sz="12" w:space="0" w:color="auto"/>
            </w:tcBorders>
          </w:tcPr>
          <w:p w14:paraId="45C3C71E" w14:textId="77777777" w:rsidR="007752AD" w:rsidRDefault="00000000">
            <w:pPr>
              <w:adjustRightInd w:val="0"/>
              <w:snapToGrid w:val="0"/>
              <w:jc w:val="center"/>
              <w:rPr>
                <w:rFonts w:eastAsia="黑体" w:hint="eastAsia"/>
                <w:sz w:val="18"/>
                <w:szCs w:val="18"/>
              </w:rPr>
            </w:pPr>
            <w:proofErr w:type="gramStart"/>
            <w:r>
              <w:rPr>
                <w:sz w:val="18"/>
                <w:szCs w:val="18"/>
              </w:rPr>
              <w:t>放射籽源产热</w:t>
            </w:r>
            <w:proofErr w:type="gramEnd"/>
            <w:r>
              <w:rPr>
                <w:sz w:val="18"/>
                <w:szCs w:val="18"/>
              </w:rPr>
              <w:t>功率</w:t>
            </w:r>
            <w:r>
              <w:rPr>
                <w:rFonts w:hint="eastAsia"/>
                <w:sz w:val="18"/>
                <w:szCs w:val="18"/>
              </w:rPr>
              <w:t>/（</w:t>
            </w:r>
            <w:r>
              <w:rPr>
                <w:sz w:val="18"/>
                <w:szCs w:val="18"/>
              </w:rPr>
              <w:t>W</w:t>
            </w:r>
            <w:r>
              <w:rPr>
                <w:b/>
                <w:bCs/>
                <w:color w:val="000000"/>
                <w:sz w:val="18"/>
                <w:szCs w:val="18"/>
              </w:rPr>
              <w:t>·</w:t>
            </w:r>
            <w:r>
              <w:rPr>
                <w:rFonts w:eastAsia="黑体"/>
                <w:sz w:val="18"/>
                <w:szCs w:val="18"/>
              </w:rPr>
              <w:t>m</w:t>
            </w:r>
            <w:r>
              <w:rPr>
                <w:rFonts w:eastAsia="黑体" w:hint="eastAsia"/>
                <w:sz w:val="18"/>
                <w:szCs w:val="18"/>
                <w:vertAlign w:val="superscript"/>
              </w:rPr>
              <w:t>-1</w:t>
            </w:r>
            <w:r>
              <w:rPr>
                <w:rFonts w:eastAsia="黑体" w:hint="eastAsia"/>
                <w:sz w:val="18"/>
                <w:szCs w:val="18"/>
              </w:rPr>
              <w:t>）</w:t>
            </w:r>
          </w:p>
        </w:tc>
      </w:tr>
      <w:tr w:rsidR="007752AD" w14:paraId="241D4708" w14:textId="77777777">
        <w:trPr>
          <w:jc w:val="center"/>
        </w:trPr>
        <w:tc>
          <w:tcPr>
            <w:tcW w:w="1912" w:type="dxa"/>
            <w:tcBorders>
              <w:top w:val="single" w:sz="12" w:space="0" w:color="auto"/>
              <w:bottom w:val="nil"/>
              <w:right w:val="nil"/>
            </w:tcBorders>
          </w:tcPr>
          <w:p w14:paraId="4EBAC93A" w14:textId="77777777" w:rsidR="007752AD" w:rsidRDefault="00000000">
            <w:pPr>
              <w:adjustRightInd w:val="0"/>
              <w:snapToGrid w:val="0"/>
              <w:jc w:val="center"/>
              <w:rPr>
                <w:rFonts w:eastAsia="黑体" w:hint="eastAsia"/>
                <w:sz w:val="18"/>
                <w:szCs w:val="18"/>
              </w:rPr>
            </w:pPr>
            <w:r>
              <w:rPr>
                <w:bCs/>
                <w:sz w:val="18"/>
                <w:szCs w:val="18"/>
              </w:rPr>
              <w:t>1.6</w:t>
            </w:r>
          </w:p>
        </w:tc>
        <w:tc>
          <w:tcPr>
            <w:tcW w:w="2027" w:type="dxa"/>
            <w:tcBorders>
              <w:top w:val="single" w:sz="12" w:space="0" w:color="auto"/>
              <w:left w:val="nil"/>
              <w:bottom w:val="nil"/>
              <w:right w:val="nil"/>
            </w:tcBorders>
          </w:tcPr>
          <w:p w14:paraId="6EC68DF6" w14:textId="77777777" w:rsidR="007752AD" w:rsidRDefault="00000000">
            <w:pPr>
              <w:adjustRightInd w:val="0"/>
              <w:snapToGrid w:val="0"/>
              <w:jc w:val="center"/>
              <w:rPr>
                <w:rFonts w:eastAsia="黑体" w:hint="eastAsia"/>
                <w:sz w:val="18"/>
                <w:szCs w:val="18"/>
              </w:rPr>
            </w:pPr>
            <w:r>
              <w:rPr>
                <w:rFonts w:eastAsia="黑体"/>
                <w:sz w:val="18"/>
                <w:szCs w:val="18"/>
              </w:rPr>
              <w:t>53.4</w:t>
            </w:r>
          </w:p>
        </w:tc>
        <w:tc>
          <w:tcPr>
            <w:tcW w:w="2553" w:type="dxa"/>
            <w:tcBorders>
              <w:top w:val="single" w:sz="12" w:space="0" w:color="auto"/>
              <w:left w:val="nil"/>
              <w:bottom w:val="nil"/>
            </w:tcBorders>
          </w:tcPr>
          <w:p w14:paraId="524109AE" w14:textId="77777777" w:rsidR="007752AD" w:rsidRDefault="00000000">
            <w:pPr>
              <w:adjustRightInd w:val="0"/>
              <w:snapToGrid w:val="0"/>
              <w:jc w:val="center"/>
              <w:rPr>
                <w:rFonts w:eastAsia="黑体" w:hint="eastAsia"/>
                <w:sz w:val="18"/>
                <w:szCs w:val="18"/>
              </w:rPr>
            </w:pPr>
            <w:r>
              <w:rPr>
                <w:rFonts w:eastAsia="黑体"/>
                <w:sz w:val="18"/>
                <w:szCs w:val="18"/>
              </w:rPr>
              <w:t>8.2</w:t>
            </w:r>
          </w:p>
        </w:tc>
      </w:tr>
      <w:tr w:rsidR="007752AD" w14:paraId="1B58F5A2" w14:textId="77777777">
        <w:trPr>
          <w:jc w:val="center"/>
        </w:trPr>
        <w:tc>
          <w:tcPr>
            <w:tcW w:w="1912" w:type="dxa"/>
            <w:tcBorders>
              <w:top w:val="nil"/>
              <w:bottom w:val="nil"/>
              <w:right w:val="nil"/>
            </w:tcBorders>
          </w:tcPr>
          <w:p w14:paraId="123ACA30" w14:textId="77777777" w:rsidR="007752AD" w:rsidRDefault="00000000">
            <w:pPr>
              <w:adjustRightInd w:val="0"/>
              <w:snapToGrid w:val="0"/>
              <w:jc w:val="center"/>
              <w:rPr>
                <w:rFonts w:eastAsia="黑体" w:hint="eastAsia"/>
                <w:sz w:val="18"/>
                <w:szCs w:val="18"/>
              </w:rPr>
            </w:pPr>
            <w:r>
              <w:rPr>
                <w:rFonts w:eastAsia="黑体"/>
                <w:sz w:val="18"/>
                <w:szCs w:val="18"/>
              </w:rPr>
              <w:t>2.4</w:t>
            </w:r>
          </w:p>
        </w:tc>
        <w:tc>
          <w:tcPr>
            <w:tcW w:w="2027" w:type="dxa"/>
            <w:tcBorders>
              <w:top w:val="nil"/>
              <w:left w:val="nil"/>
              <w:bottom w:val="nil"/>
              <w:right w:val="nil"/>
            </w:tcBorders>
          </w:tcPr>
          <w:p w14:paraId="746B4377" w14:textId="77777777" w:rsidR="007752AD" w:rsidRDefault="00000000">
            <w:pPr>
              <w:adjustRightInd w:val="0"/>
              <w:snapToGrid w:val="0"/>
              <w:jc w:val="center"/>
              <w:rPr>
                <w:rFonts w:eastAsia="黑体" w:hint="eastAsia"/>
                <w:sz w:val="18"/>
                <w:szCs w:val="18"/>
              </w:rPr>
            </w:pPr>
            <w:r>
              <w:rPr>
                <w:rFonts w:eastAsia="黑体"/>
                <w:sz w:val="18"/>
                <w:szCs w:val="18"/>
              </w:rPr>
              <w:t>120.2</w:t>
            </w:r>
          </w:p>
        </w:tc>
        <w:tc>
          <w:tcPr>
            <w:tcW w:w="2553" w:type="dxa"/>
            <w:tcBorders>
              <w:top w:val="nil"/>
              <w:left w:val="nil"/>
              <w:bottom w:val="nil"/>
            </w:tcBorders>
          </w:tcPr>
          <w:p w14:paraId="520816A1" w14:textId="77777777" w:rsidR="007752AD" w:rsidRDefault="00000000">
            <w:pPr>
              <w:adjustRightInd w:val="0"/>
              <w:snapToGrid w:val="0"/>
              <w:jc w:val="center"/>
              <w:rPr>
                <w:rFonts w:eastAsia="黑体" w:hint="eastAsia"/>
                <w:sz w:val="18"/>
                <w:szCs w:val="18"/>
              </w:rPr>
            </w:pPr>
            <w:r>
              <w:rPr>
                <w:rFonts w:eastAsia="黑体"/>
                <w:sz w:val="18"/>
                <w:szCs w:val="18"/>
              </w:rPr>
              <w:t>18.4</w:t>
            </w:r>
          </w:p>
        </w:tc>
      </w:tr>
      <w:tr w:rsidR="007752AD" w14:paraId="65C28DFD" w14:textId="77777777">
        <w:trPr>
          <w:jc w:val="center"/>
        </w:trPr>
        <w:tc>
          <w:tcPr>
            <w:tcW w:w="1912" w:type="dxa"/>
            <w:tcBorders>
              <w:top w:val="nil"/>
              <w:bottom w:val="nil"/>
              <w:right w:val="nil"/>
            </w:tcBorders>
          </w:tcPr>
          <w:p w14:paraId="3ED404D8" w14:textId="77777777" w:rsidR="007752AD" w:rsidRDefault="00000000">
            <w:pPr>
              <w:adjustRightInd w:val="0"/>
              <w:snapToGrid w:val="0"/>
              <w:jc w:val="center"/>
              <w:rPr>
                <w:rFonts w:eastAsia="黑体" w:hint="eastAsia"/>
                <w:sz w:val="18"/>
                <w:szCs w:val="18"/>
              </w:rPr>
            </w:pPr>
            <w:r>
              <w:rPr>
                <w:rFonts w:eastAsia="黑体"/>
                <w:sz w:val="18"/>
                <w:szCs w:val="18"/>
              </w:rPr>
              <w:t>3.2</w:t>
            </w:r>
          </w:p>
        </w:tc>
        <w:tc>
          <w:tcPr>
            <w:tcW w:w="2027" w:type="dxa"/>
            <w:tcBorders>
              <w:top w:val="nil"/>
              <w:left w:val="nil"/>
              <w:bottom w:val="nil"/>
              <w:right w:val="nil"/>
            </w:tcBorders>
          </w:tcPr>
          <w:p w14:paraId="66CAA6C3" w14:textId="77777777" w:rsidR="007752AD" w:rsidRDefault="00000000">
            <w:pPr>
              <w:adjustRightInd w:val="0"/>
              <w:snapToGrid w:val="0"/>
              <w:jc w:val="center"/>
              <w:rPr>
                <w:rFonts w:eastAsia="黑体" w:hint="eastAsia"/>
                <w:sz w:val="18"/>
                <w:szCs w:val="18"/>
              </w:rPr>
            </w:pPr>
            <w:r>
              <w:rPr>
                <w:rFonts w:eastAsia="黑体"/>
                <w:sz w:val="18"/>
                <w:szCs w:val="18"/>
              </w:rPr>
              <w:t>213.7</w:t>
            </w:r>
          </w:p>
        </w:tc>
        <w:tc>
          <w:tcPr>
            <w:tcW w:w="2553" w:type="dxa"/>
            <w:tcBorders>
              <w:top w:val="nil"/>
              <w:left w:val="nil"/>
              <w:bottom w:val="nil"/>
            </w:tcBorders>
          </w:tcPr>
          <w:p w14:paraId="076C6DF2" w14:textId="77777777" w:rsidR="007752AD" w:rsidRDefault="00000000">
            <w:pPr>
              <w:adjustRightInd w:val="0"/>
              <w:snapToGrid w:val="0"/>
              <w:jc w:val="center"/>
              <w:rPr>
                <w:rFonts w:eastAsia="黑体" w:hint="eastAsia"/>
                <w:sz w:val="18"/>
                <w:szCs w:val="18"/>
              </w:rPr>
            </w:pPr>
            <w:r>
              <w:rPr>
                <w:rFonts w:eastAsia="黑体"/>
                <w:sz w:val="18"/>
                <w:szCs w:val="18"/>
              </w:rPr>
              <w:t>32.7</w:t>
            </w:r>
          </w:p>
        </w:tc>
      </w:tr>
      <w:tr w:rsidR="007752AD" w14:paraId="46AC6067" w14:textId="77777777">
        <w:trPr>
          <w:jc w:val="center"/>
        </w:trPr>
        <w:tc>
          <w:tcPr>
            <w:tcW w:w="1912" w:type="dxa"/>
            <w:tcBorders>
              <w:top w:val="nil"/>
              <w:bottom w:val="nil"/>
              <w:right w:val="nil"/>
            </w:tcBorders>
          </w:tcPr>
          <w:p w14:paraId="73CE2223" w14:textId="77777777" w:rsidR="007752AD" w:rsidRDefault="00000000">
            <w:pPr>
              <w:adjustRightInd w:val="0"/>
              <w:snapToGrid w:val="0"/>
              <w:jc w:val="center"/>
              <w:rPr>
                <w:rFonts w:eastAsia="黑体" w:hint="eastAsia"/>
                <w:sz w:val="18"/>
                <w:szCs w:val="18"/>
              </w:rPr>
            </w:pPr>
            <w:r>
              <w:rPr>
                <w:rFonts w:eastAsia="黑体"/>
                <w:sz w:val="18"/>
                <w:szCs w:val="18"/>
              </w:rPr>
              <w:t>4.0</w:t>
            </w:r>
          </w:p>
        </w:tc>
        <w:tc>
          <w:tcPr>
            <w:tcW w:w="2027" w:type="dxa"/>
            <w:tcBorders>
              <w:top w:val="nil"/>
              <w:left w:val="nil"/>
              <w:bottom w:val="nil"/>
              <w:right w:val="nil"/>
            </w:tcBorders>
          </w:tcPr>
          <w:p w14:paraId="460082E3" w14:textId="77777777" w:rsidR="007752AD" w:rsidRDefault="00000000">
            <w:pPr>
              <w:adjustRightInd w:val="0"/>
              <w:snapToGrid w:val="0"/>
              <w:jc w:val="center"/>
              <w:rPr>
                <w:rFonts w:eastAsia="黑体" w:hint="eastAsia"/>
                <w:sz w:val="18"/>
                <w:szCs w:val="18"/>
              </w:rPr>
            </w:pPr>
            <w:r>
              <w:rPr>
                <w:rFonts w:eastAsia="黑体"/>
                <w:sz w:val="18"/>
                <w:szCs w:val="18"/>
              </w:rPr>
              <w:t>334.0</w:t>
            </w:r>
          </w:p>
        </w:tc>
        <w:tc>
          <w:tcPr>
            <w:tcW w:w="2553" w:type="dxa"/>
            <w:tcBorders>
              <w:top w:val="nil"/>
              <w:left w:val="nil"/>
              <w:bottom w:val="nil"/>
            </w:tcBorders>
          </w:tcPr>
          <w:p w14:paraId="1CAA2724" w14:textId="77777777" w:rsidR="007752AD" w:rsidRDefault="00000000">
            <w:pPr>
              <w:adjustRightInd w:val="0"/>
              <w:snapToGrid w:val="0"/>
              <w:jc w:val="center"/>
              <w:rPr>
                <w:rFonts w:eastAsia="黑体" w:hint="eastAsia"/>
                <w:sz w:val="18"/>
                <w:szCs w:val="18"/>
              </w:rPr>
            </w:pPr>
            <w:r>
              <w:rPr>
                <w:rFonts w:eastAsia="黑体"/>
                <w:sz w:val="18"/>
                <w:szCs w:val="18"/>
              </w:rPr>
              <w:t>51.1</w:t>
            </w:r>
          </w:p>
        </w:tc>
      </w:tr>
      <w:tr w:rsidR="007752AD" w14:paraId="22C97CB1" w14:textId="77777777">
        <w:trPr>
          <w:jc w:val="center"/>
        </w:trPr>
        <w:tc>
          <w:tcPr>
            <w:tcW w:w="1912" w:type="dxa"/>
            <w:tcBorders>
              <w:top w:val="nil"/>
              <w:bottom w:val="single" w:sz="12" w:space="0" w:color="auto"/>
              <w:right w:val="nil"/>
            </w:tcBorders>
          </w:tcPr>
          <w:p w14:paraId="5DFB1E77" w14:textId="77777777" w:rsidR="007752AD" w:rsidRDefault="00000000">
            <w:pPr>
              <w:adjustRightInd w:val="0"/>
              <w:snapToGrid w:val="0"/>
              <w:jc w:val="center"/>
              <w:rPr>
                <w:rFonts w:eastAsia="黑体" w:hint="eastAsia"/>
                <w:sz w:val="18"/>
                <w:szCs w:val="18"/>
              </w:rPr>
            </w:pPr>
            <w:r>
              <w:rPr>
                <w:rFonts w:eastAsia="黑体"/>
                <w:sz w:val="18"/>
                <w:szCs w:val="18"/>
              </w:rPr>
              <w:lastRenderedPageBreak/>
              <w:t>4.8</w:t>
            </w:r>
          </w:p>
        </w:tc>
        <w:tc>
          <w:tcPr>
            <w:tcW w:w="2027" w:type="dxa"/>
            <w:tcBorders>
              <w:top w:val="nil"/>
              <w:left w:val="nil"/>
              <w:bottom w:val="single" w:sz="12" w:space="0" w:color="auto"/>
              <w:right w:val="nil"/>
            </w:tcBorders>
          </w:tcPr>
          <w:p w14:paraId="05CCAD46" w14:textId="77777777" w:rsidR="007752AD" w:rsidRDefault="00000000">
            <w:pPr>
              <w:adjustRightInd w:val="0"/>
              <w:snapToGrid w:val="0"/>
              <w:jc w:val="center"/>
              <w:rPr>
                <w:rFonts w:eastAsia="黑体" w:hint="eastAsia"/>
                <w:sz w:val="18"/>
                <w:szCs w:val="18"/>
              </w:rPr>
            </w:pPr>
            <w:r>
              <w:rPr>
                <w:rFonts w:eastAsia="黑体"/>
                <w:sz w:val="18"/>
                <w:szCs w:val="18"/>
              </w:rPr>
              <w:t>480.9</w:t>
            </w:r>
          </w:p>
        </w:tc>
        <w:tc>
          <w:tcPr>
            <w:tcW w:w="2553" w:type="dxa"/>
            <w:tcBorders>
              <w:top w:val="nil"/>
              <w:left w:val="nil"/>
              <w:bottom w:val="single" w:sz="12" w:space="0" w:color="auto"/>
            </w:tcBorders>
          </w:tcPr>
          <w:p w14:paraId="18201B71" w14:textId="77777777" w:rsidR="007752AD" w:rsidRDefault="00000000">
            <w:pPr>
              <w:adjustRightInd w:val="0"/>
              <w:snapToGrid w:val="0"/>
              <w:jc w:val="center"/>
              <w:rPr>
                <w:rFonts w:eastAsia="黑体" w:hint="eastAsia"/>
                <w:sz w:val="18"/>
                <w:szCs w:val="18"/>
              </w:rPr>
            </w:pPr>
            <w:r>
              <w:rPr>
                <w:rFonts w:eastAsia="黑体"/>
                <w:sz w:val="18"/>
                <w:szCs w:val="18"/>
              </w:rPr>
              <w:t>73.6</w:t>
            </w:r>
          </w:p>
        </w:tc>
      </w:tr>
    </w:tbl>
    <w:p w14:paraId="26C16672" w14:textId="77777777" w:rsidR="007752AD" w:rsidRDefault="00000000">
      <w:pPr>
        <w:pStyle w:val="afe"/>
        <w:adjustRightInd w:val="0"/>
        <w:snapToGrid w:val="0"/>
        <w:ind w:firstLineChars="0" w:firstLine="0"/>
        <w:rPr>
          <w:rFonts w:ascii="黑体" w:eastAsia="黑体" w:hAnsi="黑体" w:hint="eastAsia"/>
          <w:sz w:val="28"/>
          <w:szCs w:val="28"/>
        </w:rPr>
      </w:pPr>
      <w:r>
        <w:rPr>
          <w:rFonts w:ascii="黑体" w:eastAsia="黑体" w:hAnsi="黑体" w:hint="eastAsia"/>
          <w:sz w:val="28"/>
          <w:szCs w:val="28"/>
        </w:rPr>
        <w:t>2   实验过程</w:t>
      </w:r>
    </w:p>
    <w:p w14:paraId="6483FC94" w14:textId="77777777" w:rsidR="007752AD" w:rsidRDefault="00000000">
      <w:pPr>
        <w:adjustRightInd w:val="0"/>
        <w:snapToGrid w:val="0"/>
        <w:ind w:firstLineChars="200" w:firstLine="420"/>
        <w:rPr>
          <w:rFonts w:hint="eastAsia"/>
          <w:color w:val="FF0000"/>
        </w:rPr>
      </w:pPr>
      <w:r>
        <w:rPr>
          <w:rFonts w:hint="eastAsia"/>
          <w:color w:val="FF0000"/>
        </w:rPr>
        <w:t>……</w:t>
      </w:r>
    </w:p>
    <w:p w14:paraId="367D9973" w14:textId="77777777" w:rsidR="007752AD" w:rsidRDefault="00000000">
      <w:pPr>
        <w:pStyle w:val="afe"/>
        <w:adjustRightInd w:val="0"/>
        <w:snapToGrid w:val="0"/>
        <w:ind w:firstLineChars="0" w:firstLine="0"/>
        <w:rPr>
          <w:rFonts w:ascii="黑体" w:eastAsia="黑体" w:hAnsi="黑体" w:hint="eastAsia"/>
          <w:sz w:val="28"/>
          <w:szCs w:val="28"/>
        </w:rPr>
      </w:pPr>
      <w:r>
        <w:rPr>
          <w:rFonts w:ascii="黑体" w:eastAsia="黑体" w:hAnsi="黑体" w:hint="eastAsia"/>
          <w:sz w:val="28"/>
          <w:szCs w:val="28"/>
        </w:rPr>
        <w:t>3   结果与分析</w:t>
      </w:r>
    </w:p>
    <w:p w14:paraId="0B74A8E6" w14:textId="77777777" w:rsidR="007752AD" w:rsidRDefault="00000000">
      <w:pPr>
        <w:pStyle w:val="afe"/>
        <w:adjustRightInd w:val="0"/>
        <w:snapToGrid w:val="0"/>
        <w:ind w:firstLineChars="0" w:firstLine="0"/>
        <w:rPr>
          <w:rFonts w:hint="eastAsia"/>
          <w:b/>
        </w:rPr>
      </w:pPr>
      <w:r>
        <w:rPr>
          <w:rFonts w:hint="eastAsia"/>
          <w:b/>
        </w:rPr>
        <w:t>3.1   植入</w:t>
      </w:r>
      <w:proofErr w:type="gramStart"/>
      <w:r>
        <w:rPr>
          <w:rFonts w:hint="eastAsia"/>
          <w:b/>
        </w:rPr>
        <w:t>放射籽源的琼脂体模升温</w:t>
      </w:r>
      <w:proofErr w:type="gramEnd"/>
    </w:p>
    <w:p w14:paraId="1580240C" w14:textId="77777777" w:rsidR="007752AD" w:rsidRDefault="00000000">
      <w:pPr>
        <w:adjustRightInd w:val="0"/>
        <w:snapToGrid w:val="0"/>
        <w:ind w:firstLineChars="200" w:firstLine="420"/>
        <w:rPr>
          <w:rFonts w:hint="eastAsia"/>
          <w:color w:val="FF0000"/>
        </w:rPr>
      </w:pPr>
      <w:r>
        <w:rPr>
          <w:rFonts w:hint="eastAsia"/>
          <w:color w:val="FF0000"/>
        </w:rPr>
        <w:t>……</w:t>
      </w:r>
    </w:p>
    <w:p w14:paraId="6FF3A571" w14:textId="77777777" w:rsidR="007752AD" w:rsidRDefault="00000000">
      <w:pPr>
        <w:pStyle w:val="afe"/>
        <w:adjustRightInd w:val="0"/>
        <w:snapToGrid w:val="0"/>
        <w:ind w:firstLineChars="0" w:firstLine="0"/>
        <w:rPr>
          <w:rFonts w:hint="eastAsia"/>
          <w:b/>
        </w:rPr>
      </w:pPr>
      <w:r>
        <w:rPr>
          <w:rFonts w:hint="eastAsia"/>
          <w:b/>
        </w:rPr>
        <w:t>3.2   空白</w:t>
      </w:r>
      <w:proofErr w:type="gramStart"/>
      <w:r>
        <w:rPr>
          <w:rFonts w:hint="eastAsia"/>
          <w:b/>
        </w:rPr>
        <w:t>琼脂体模对照</w:t>
      </w:r>
      <w:proofErr w:type="gramEnd"/>
      <w:r>
        <w:rPr>
          <w:rFonts w:hint="eastAsia"/>
          <w:b/>
        </w:rPr>
        <w:t>组升温</w:t>
      </w:r>
    </w:p>
    <w:p w14:paraId="711ECC05" w14:textId="77777777" w:rsidR="007752AD" w:rsidRDefault="00000000">
      <w:pPr>
        <w:adjustRightInd w:val="0"/>
        <w:snapToGrid w:val="0"/>
        <w:ind w:firstLine="375"/>
        <w:rPr>
          <w:rFonts w:ascii="宋体" w:hAnsi="宋体" w:hint="eastAsia"/>
        </w:rPr>
      </w:pPr>
      <w:r>
        <w:rPr>
          <w:rFonts w:hint="eastAsia"/>
        </w:rPr>
        <w:t>在实验样机射频磁场作用下，空白</w:t>
      </w:r>
      <w:proofErr w:type="gramStart"/>
      <w:r>
        <w:rPr>
          <w:rFonts w:hint="eastAsia"/>
        </w:rPr>
        <w:t>琼脂体模升温</w:t>
      </w:r>
      <w:proofErr w:type="gramEnd"/>
      <w:r>
        <w:rPr>
          <w:rFonts w:hint="eastAsia"/>
        </w:rPr>
        <w:t>结果见图4。在较大磁场强度下（磁场强度大于4.0 kA/m），</w:t>
      </w:r>
      <w:proofErr w:type="gramStart"/>
      <w:r>
        <w:rPr>
          <w:rFonts w:hint="eastAsia"/>
        </w:rPr>
        <w:t>琼脂体模有</w:t>
      </w:r>
      <w:proofErr w:type="gramEnd"/>
      <w:r>
        <w:rPr>
          <w:rFonts w:hint="eastAsia"/>
        </w:rPr>
        <w:t xml:space="preserve">1~1.6 </w:t>
      </w:r>
      <w:r>
        <w:rPr>
          <w:rFonts w:ascii="宋体" w:hAnsi="宋体" w:hint="eastAsia"/>
        </w:rPr>
        <w:t>℃</w:t>
      </w:r>
      <w:r>
        <w:rPr>
          <w:rFonts w:hint="eastAsia"/>
        </w:rPr>
        <w:t>的温升，</w:t>
      </w:r>
      <w:r>
        <w:rPr>
          <w:rFonts w:ascii="宋体" w:hAnsi="宋体" w:hint="eastAsia"/>
        </w:rPr>
        <w:t>在实验条件下，</w:t>
      </w:r>
      <w:proofErr w:type="gramStart"/>
      <w:r>
        <w:rPr>
          <w:rFonts w:ascii="宋体" w:hAnsi="宋体" w:hint="eastAsia"/>
        </w:rPr>
        <w:t>琼脂体模升温</w:t>
      </w:r>
      <w:proofErr w:type="gramEnd"/>
      <w:r>
        <w:rPr>
          <w:rFonts w:ascii="宋体" w:hAnsi="宋体" w:hint="eastAsia"/>
        </w:rPr>
        <w:t>不明显，在实际应用中可以忽略琼脂的升温。</w:t>
      </w:r>
    </w:p>
    <w:p w14:paraId="4585D247" w14:textId="77777777" w:rsidR="007752AD" w:rsidRDefault="00000000">
      <w:pPr>
        <w:pStyle w:val="afe"/>
        <w:adjustRightInd w:val="0"/>
        <w:snapToGrid w:val="0"/>
        <w:ind w:firstLineChars="0" w:firstLine="0"/>
        <w:rPr>
          <w:rFonts w:hint="eastAsia"/>
          <w:b/>
        </w:rPr>
      </w:pPr>
      <w:r>
        <w:rPr>
          <w:rFonts w:hint="eastAsia"/>
          <w:b/>
        </w:rPr>
        <w:t>3.3   琼脂升温情况下的最大温升</w:t>
      </w:r>
    </w:p>
    <w:p w14:paraId="39E0CE60" w14:textId="77777777" w:rsidR="007752AD" w:rsidRDefault="00000000">
      <w:pPr>
        <w:adjustRightInd w:val="0"/>
        <w:snapToGrid w:val="0"/>
        <w:ind w:firstLine="420"/>
        <w:rPr>
          <w:rFonts w:hint="eastAsia"/>
        </w:rPr>
      </w:pPr>
      <w:r>
        <w:rPr>
          <w:rFonts w:hint="eastAsia"/>
        </w:rPr>
        <w:t>选取磁场强度为4.8 kA/m情况下2种粒子升温曲线，并结合空白</w:t>
      </w:r>
      <w:proofErr w:type="gramStart"/>
      <w:r>
        <w:rPr>
          <w:rFonts w:hint="eastAsia"/>
        </w:rPr>
        <w:t>琼脂体模的</w:t>
      </w:r>
      <w:proofErr w:type="gramEnd"/>
      <w:r>
        <w:rPr>
          <w:rFonts w:hint="eastAsia"/>
        </w:rPr>
        <w:t>温升，得到两种粒子升温的绝对值，结果见图5。60 min内，</w:t>
      </w:r>
      <w:proofErr w:type="gramStart"/>
      <w:r>
        <w:rPr>
          <w:rFonts w:hint="eastAsia"/>
        </w:rPr>
        <w:t>放射籽源在</w:t>
      </w:r>
      <w:proofErr w:type="gramEnd"/>
      <w:r>
        <w:rPr>
          <w:rFonts w:hint="eastAsia"/>
        </w:rPr>
        <w:t xml:space="preserve">射频磁场中，最大温升小于5 </w:t>
      </w:r>
      <w:r>
        <w:rPr>
          <w:rFonts w:ascii="宋体" w:hAnsi="宋体" w:hint="eastAsia"/>
        </w:rPr>
        <w:t>℃</w:t>
      </w:r>
      <w:r>
        <w:rPr>
          <w:rFonts w:hint="eastAsia"/>
        </w:rPr>
        <w:t>，热</w:t>
      </w:r>
      <w:proofErr w:type="gramStart"/>
      <w:r>
        <w:rPr>
          <w:rFonts w:hint="eastAsia"/>
        </w:rPr>
        <w:t>籽最大</w:t>
      </w:r>
      <w:proofErr w:type="gramEnd"/>
      <w:r>
        <w:rPr>
          <w:rFonts w:hint="eastAsia"/>
        </w:rPr>
        <w:t xml:space="preserve">温升为10.5 </w:t>
      </w:r>
      <w:r>
        <w:rPr>
          <w:rFonts w:ascii="宋体" w:hAnsi="宋体" w:hint="eastAsia"/>
        </w:rPr>
        <w:t>℃</w:t>
      </w:r>
      <w:r>
        <w:rPr>
          <w:rFonts w:hint="eastAsia"/>
        </w:rPr>
        <w:t>。以上结果与分析再次验证了</w:t>
      </w:r>
      <w:proofErr w:type="gramStart"/>
      <w:r>
        <w:rPr>
          <w:rFonts w:hint="eastAsia"/>
        </w:rPr>
        <w:t>放射籽源在</w:t>
      </w:r>
      <w:proofErr w:type="gramEnd"/>
      <w:r>
        <w:rPr>
          <w:rFonts w:hint="eastAsia"/>
        </w:rPr>
        <w:t>磁感应交变磁场中产热能力较弱，不会</w:t>
      </w:r>
      <w:proofErr w:type="gramStart"/>
      <w:r>
        <w:rPr>
          <w:rFonts w:hint="eastAsia"/>
        </w:rPr>
        <w:t>导致籽源的</w:t>
      </w:r>
      <w:proofErr w:type="gramEnd"/>
      <w:r>
        <w:rPr>
          <w:rFonts w:hint="eastAsia"/>
        </w:rPr>
        <w:t>安全隐患。</w:t>
      </w:r>
    </w:p>
    <w:tbl>
      <w:tblPr>
        <w:tblW w:w="0" w:type="auto"/>
        <w:jc w:val="center"/>
        <w:tblLayout w:type="fixed"/>
        <w:tblLook w:val="04A0" w:firstRow="1" w:lastRow="0" w:firstColumn="1" w:lastColumn="0" w:noHBand="0" w:noVBand="1"/>
      </w:tblPr>
      <w:tblGrid>
        <w:gridCol w:w="4261"/>
        <w:gridCol w:w="4261"/>
      </w:tblGrid>
      <w:tr w:rsidR="007752AD" w14:paraId="5EE1E403" w14:textId="77777777">
        <w:trPr>
          <w:jc w:val="center"/>
        </w:trPr>
        <w:tc>
          <w:tcPr>
            <w:tcW w:w="4261" w:type="dxa"/>
          </w:tcPr>
          <w:p w14:paraId="005A17E3" w14:textId="77777777" w:rsidR="007752AD" w:rsidRDefault="00000000">
            <w:pPr>
              <w:adjustRightInd w:val="0"/>
              <w:snapToGrid w:val="0"/>
              <w:jc w:val="center"/>
              <w:rPr>
                <w:rFonts w:ascii="Calibri" w:hAnsi="Calibri"/>
              </w:rPr>
            </w:pPr>
            <w:r>
              <w:rPr>
                <w:rFonts w:ascii="Calibri" w:hAnsi="Calibri"/>
                <w:noProof/>
              </w:rPr>
              <w:drawing>
                <wp:inline distT="0" distB="0" distL="0" distR="0" wp14:anchorId="418C8F5B" wp14:editId="48647D89">
                  <wp:extent cx="2552700" cy="1812925"/>
                  <wp:effectExtent l="0" t="0" r="0" b="0"/>
                  <wp:docPr id="79309987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099872" name="图片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552700" cy="1812925"/>
                          </a:xfrm>
                          <a:prstGeom prst="rect">
                            <a:avLst/>
                          </a:prstGeom>
                          <a:noFill/>
                          <a:ln>
                            <a:noFill/>
                          </a:ln>
                        </pic:spPr>
                      </pic:pic>
                    </a:graphicData>
                  </a:graphic>
                </wp:inline>
              </w:drawing>
            </w:r>
          </w:p>
        </w:tc>
        <w:tc>
          <w:tcPr>
            <w:tcW w:w="4261" w:type="dxa"/>
          </w:tcPr>
          <w:p w14:paraId="1B531F3B" w14:textId="77777777" w:rsidR="007752AD" w:rsidRDefault="00000000">
            <w:pPr>
              <w:adjustRightInd w:val="0"/>
              <w:snapToGrid w:val="0"/>
              <w:jc w:val="center"/>
              <w:rPr>
                <w:rFonts w:ascii="Calibri" w:hAnsi="Calibri"/>
              </w:rPr>
            </w:pPr>
            <w:r>
              <w:rPr>
                <w:rFonts w:ascii="Calibri" w:hAnsi="Calibri"/>
                <w:noProof/>
              </w:rPr>
              <w:drawing>
                <wp:inline distT="0" distB="0" distL="0" distR="0" wp14:anchorId="5230C4B0" wp14:editId="33F67E90">
                  <wp:extent cx="2552700" cy="1812925"/>
                  <wp:effectExtent l="0" t="0" r="0" b="0"/>
                  <wp:docPr id="61236382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363827" name="图片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552700" cy="1812925"/>
                          </a:xfrm>
                          <a:prstGeom prst="rect">
                            <a:avLst/>
                          </a:prstGeom>
                          <a:noFill/>
                          <a:ln>
                            <a:noFill/>
                          </a:ln>
                        </pic:spPr>
                      </pic:pic>
                    </a:graphicData>
                  </a:graphic>
                </wp:inline>
              </w:drawing>
            </w:r>
          </w:p>
        </w:tc>
      </w:tr>
      <w:tr w:rsidR="007752AD" w14:paraId="3E3F1FFA" w14:textId="77777777">
        <w:trPr>
          <w:jc w:val="center"/>
        </w:trPr>
        <w:tc>
          <w:tcPr>
            <w:tcW w:w="4261" w:type="dxa"/>
          </w:tcPr>
          <w:p w14:paraId="1AF53D8E" w14:textId="77777777" w:rsidR="007752AD" w:rsidRDefault="00000000">
            <w:pPr>
              <w:autoSpaceDE w:val="0"/>
              <w:autoSpaceDN w:val="0"/>
              <w:adjustRightInd w:val="0"/>
              <w:snapToGrid w:val="0"/>
              <w:jc w:val="center"/>
              <w:rPr>
                <w:rFonts w:ascii="Calibri" w:hAnsi="Calibri"/>
                <w:sz w:val="18"/>
                <w:szCs w:val="18"/>
              </w:rPr>
            </w:pPr>
            <w:r>
              <w:rPr>
                <w:rFonts w:ascii="黑体" w:eastAsia="黑体" w:cs="AdobeSongStd-Light" w:hint="eastAsia"/>
                <w:kern w:val="0"/>
                <w:sz w:val="18"/>
                <w:szCs w:val="18"/>
              </w:rPr>
              <w:t>图4   不同磁场强度下</w:t>
            </w:r>
            <w:proofErr w:type="gramStart"/>
            <w:r>
              <w:rPr>
                <w:rFonts w:ascii="黑体" w:eastAsia="黑体" w:cs="AdobeSongStd-Light" w:hint="eastAsia"/>
                <w:kern w:val="0"/>
                <w:sz w:val="18"/>
                <w:szCs w:val="18"/>
              </w:rPr>
              <w:t>琼脂体模温度</w:t>
            </w:r>
            <w:proofErr w:type="gramEnd"/>
            <w:r>
              <w:rPr>
                <w:rFonts w:ascii="黑体" w:eastAsia="黑体" w:cs="AdobeSongStd-Light" w:hint="eastAsia"/>
                <w:kern w:val="0"/>
                <w:sz w:val="18"/>
                <w:szCs w:val="18"/>
              </w:rPr>
              <w:t>变化曲线</w:t>
            </w:r>
          </w:p>
        </w:tc>
        <w:tc>
          <w:tcPr>
            <w:tcW w:w="4261" w:type="dxa"/>
          </w:tcPr>
          <w:p w14:paraId="4D472ABB" w14:textId="77777777" w:rsidR="007752AD" w:rsidRDefault="00000000">
            <w:pPr>
              <w:autoSpaceDE w:val="0"/>
              <w:autoSpaceDN w:val="0"/>
              <w:adjustRightInd w:val="0"/>
              <w:snapToGrid w:val="0"/>
              <w:jc w:val="center"/>
              <w:rPr>
                <w:rFonts w:ascii="Calibri" w:hAnsi="Calibri"/>
                <w:sz w:val="18"/>
                <w:szCs w:val="18"/>
              </w:rPr>
            </w:pPr>
            <w:r>
              <w:rPr>
                <w:rFonts w:ascii="黑体" w:eastAsia="黑体" w:cs="AdobeSongStd-Light" w:hint="eastAsia"/>
                <w:kern w:val="0"/>
                <w:sz w:val="18"/>
                <w:szCs w:val="18"/>
              </w:rPr>
              <w:t xml:space="preserve">图5   </w:t>
            </w:r>
            <w:r>
              <w:rPr>
                <w:rFonts w:ascii="黑体" w:eastAsia="黑体" w:cs="AdobeSongStd-Light" w:hint="eastAsia"/>
                <w:kern w:val="0"/>
                <w:sz w:val="18"/>
                <w:szCs w:val="18"/>
                <w:vertAlign w:val="superscript"/>
              </w:rPr>
              <w:t>125</w:t>
            </w:r>
            <w:r>
              <w:rPr>
                <w:rFonts w:ascii="黑体" w:eastAsia="黑体" w:cs="AdobeSongStd-Light" w:hint="eastAsia"/>
                <w:kern w:val="0"/>
                <w:sz w:val="18"/>
                <w:szCs w:val="18"/>
              </w:rPr>
              <w:t>I</w:t>
            </w:r>
            <w:proofErr w:type="gramStart"/>
            <w:r>
              <w:rPr>
                <w:rFonts w:ascii="黑体" w:eastAsia="黑体" w:cs="AdobeSongStd-Light"/>
                <w:kern w:val="0"/>
                <w:sz w:val="18"/>
                <w:szCs w:val="18"/>
              </w:rPr>
              <w:t>籽源</w:t>
            </w:r>
            <w:r>
              <w:rPr>
                <w:rFonts w:ascii="黑体" w:eastAsia="黑体" w:cs="AdobeSongStd-Light" w:hint="eastAsia"/>
                <w:kern w:val="0"/>
                <w:sz w:val="18"/>
                <w:szCs w:val="18"/>
              </w:rPr>
              <w:t>和</w:t>
            </w:r>
            <w:proofErr w:type="gramEnd"/>
            <w:r>
              <w:rPr>
                <w:rFonts w:ascii="黑体" w:eastAsia="黑体" w:cs="AdobeSongStd-Light" w:hint="eastAsia"/>
                <w:kern w:val="0"/>
                <w:sz w:val="18"/>
                <w:szCs w:val="18"/>
              </w:rPr>
              <w:t>热籽升温绝对值结果</w:t>
            </w:r>
          </w:p>
        </w:tc>
      </w:tr>
    </w:tbl>
    <w:p w14:paraId="16BA7DB5" w14:textId="77777777" w:rsidR="007752AD" w:rsidRDefault="00000000">
      <w:pPr>
        <w:pStyle w:val="afe"/>
        <w:adjustRightInd w:val="0"/>
        <w:snapToGrid w:val="0"/>
        <w:ind w:firstLineChars="0" w:firstLine="0"/>
        <w:rPr>
          <w:rFonts w:hint="eastAsia"/>
          <w:b/>
        </w:rPr>
      </w:pPr>
      <w:r>
        <w:rPr>
          <w:rFonts w:hint="eastAsia"/>
          <w:b/>
        </w:rPr>
        <w:t>3.4  ……</w:t>
      </w:r>
    </w:p>
    <w:p w14:paraId="0B7551F6" w14:textId="77777777" w:rsidR="007752AD" w:rsidRDefault="00000000">
      <w:pPr>
        <w:pStyle w:val="afe"/>
        <w:adjustRightInd w:val="0"/>
        <w:snapToGrid w:val="0"/>
        <w:ind w:firstLineChars="0" w:firstLine="0"/>
        <w:rPr>
          <w:rFonts w:hint="eastAsia"/>
          <w:b/>
        </w:rPr>
      </w:pPr>
      <w:r>
        <w:rPr>
          <w:rFonts w:hint="eastAsia"/>
          <w:b/>
        </w:rPr>
        <w:t>3.5  ……</w:t>
      </w:r>
    </w:p>
    <w:p w14:paraId="2ED60F9A" w14:textId="77777777" w:rsidR="007752AD" w:rsidRDefault="00000000">
      <w:pPr>
        <w:pStyle w:val="afe"/>
        <w:adjustRightInd w:val="0"/>
        <w:snapToGrid w:val="0"/>
        <w:ind w:firstLineChars="0" w:firstLine="0"/>
        <w:rPr>
          <w:rFonts w:ascii="黑体" w:eastAsia="黑体" w:hAnsi="黑体" w:hint="eastAsia"/>
          <w:sz w:val="28"/>
          <w:szCs w:val="28"/>
        </w:rPr>
      </w:pPr>
      <w:r>
        <w:rPr>
          <w:rFonts w:ascii="黑体" w:eastAsia="黑体" w:hAnsi="黑体" w:hint="eastAsia"/>
          <w:sz w:val="28"/>
          <w:szCs w:val="28"/>
        </w:rPr>
        <w:t>4   讨论</w:t>
      </w:r>
    </w:p>
    <w:p w14:paraId="65215A7D" w14:textId="77777777" w:rsidR="007752AD" w:rsidRDefault="00000000">
      <w:pPr>
        <w:adjustRightInd w:val="0"/>
        <w:snapToGrid w:val="0"/>
        <w:ind w:firstLineChars="200" w:firstLine="420"/>
        <w:rPr>
          <w:rFonts w:hint="eastAsia"/>
          <w:color w:val="FF0000"/>
        </w:rPr>
      </w:pPr>
      <w:r>
        <w:rPr>
          <w:rFonts w:hint="eastAsia"/>
          <w:color w:val="FF0000"/>
        </w:rPr>
        <w:t>……</w:t>
      </w:r>
    </w:p>
    <w:p w14:paraId="4B995B8E" w14:textId="77777777" w:rsidR="007752AD" w:rsidRDefault="00000000">
      <w:pPr>
        <w:adjustRightInd w:val="0"/>
        <w:snapToGrid w:val="0"/>
        <w:rPr>
          <w:rFonts w:ascii="黑体" w:eastAsia="黑体" w:hAnsi="黑体" w:hint="eastAsia"/>
          <w:sz w:val="28"/>
          <w:szCs w:val="28"/>
        </w:rPr>
      </w:pPr>
      <w:r>
        <w:rPr>
          <w:rFonts w:ascii="黑体" w:eastAsia="黑体" w:hAnsi="黑体" w:hint="eastAsia"/>
          <w:sz w:val="28"/>
          <w:szCs w:val="28"/>
        </w:rPr>
        <w:t>5   结论</w:t>
      </w:r>
    </w:p>
    <w:p w14:paraId="555A30E0" w14:textId="77777777" w:rsidR="007752AD" w:rsidRDefault="00000000">
      <w:pPr>
        <w:adjustRightInd w:val="0"/>
        <w:snapToGrid w:val="0"/>
        <w:ind w:firstLineChars="202" w:firstLine="424"/>
        <w:rPr>
          <w:rFonts w:hint="eastAsia"/>
        </w:rPr>
      </w:pPr>
      <w:r>
        <w:rPr>
          <w:rFonts w:hint="eastAsia"/>
        </w:rPr>
        <w:t>从理论计算、材料特性分析、升温实验等方面，研究了磁感应热疗联合</w:t>
      </w:r>
      <w:r>
        <w:rPr>
          <w:rFonts w:hint="eastAsia"/>
          <w:szCs w:val="21"/>
          <w:vertAlign w:val="superscript"/>
        </w:rPr>
        <w:t>125</w:t>
      </w:r>
      <w:r>
        <w:rPr>
          <w:rFonts w:hint="eastAsia"/>
          <w:szCs w:val="21"/>
        </w:rPr>
        <w:t>I</w:t>
      </w:r>
      <w:proofErr w:type="gramStart"/>
      <w:r>
        <w:rPr>
          <w:rFonts w:hint="eastAsia"/>
        </w:rPr>
        <w:t>放射籽源近距离</w:t>
      </w:r>
      <w:proofErr w:type="gramEnd"/>
      <w:r>
        <w:rPr>
          <w:rFonts w:hint="eastAsia"/>
        </w:rPr>
        <w:t>放疗的可行性。</w:t>
      </w:r>
    </w:p>
    <w:p w14:paraId="0011D67F" w14:textId="77777777" w:rsidR="007752AD" w:rsidRDefault="00000000">
      <w:pPr>
        <w:adjustRightInd w:val="0"/>
        <w:snapToGrid w:val="0"/>
        <w:ind w:firstLineChars="202" w:firstLine="424"/>
        <w:rPr>
          <w:rFonts w:hint="eastAsia"/>
        </w:rPr>
      </w:pPr>
      <w:r>
        <w:rPr>
          <w:rFonts w:hint="eastAsia"/>
        </w:rPr>
        <w:t>1）由于</w:t>
      </w:r>
      <w:r>
        <w:rPr>
          <w:rFonts w:hint="eastAsia"/>
          <w:szCs w:val="21"/>
          <w:vertAlign w:val="superscript"/>
        </w:rPr>
        <w:t>125</w:t>
      </w:r>
      <w:r>
        <w:rPr>
          <w:rFonts w:hint="eastAsia"/>
          <w:szCs w:val="21"/>
        </w:rPr>
        <w:t>I</w:t>
      </w:r>
      <w:r>
        <w:rPr>
          <w:rFonts w:hint="eastAsia"/>
        </w:rPr>
        <w:t>放射</w:t>
      </w:r>
      <w:proofErr w:type="gramStart"/>
      <w:r>
        <w:rPr>
          <w:rFonts w:hint="eastAsia"/>
        </w:rPr>
        <w:t>籽源采用</w:t>
      </w:r>
      <w:proofErr w:type="gramEnd"/>
      <w:r>
        <w:rPr>
          <w:rFonts w:hint="eastAsia"/>
        </w:rPr>
        <w:t>钛合金为主要材料，相对磁导率很小，理论计算表明即使在强交变磁场下，产热功率也比较小，不会引起</w:t>
      </w:r>
      <w:proofErr w:type="gramStart"/>
      <w:r>
        <w:rPr>
          <w:rFonts w:hint="eastAsia"/>
        </w:rPr>
        <w:t>放射籽源本身</w:t>
      </w:r>
      <w:proofErr w:type="gramEnd"/>
      <w:r>
        <w:rPr>
          <w:rFonts w:hint="eastAsia"/>
        </w:rPr>
        <w:t>温度的剧烈升高而</w:t>
      </w:r>
      <w:proofErr w:type="gramStart"/>
      <w:r>
        <w:rPr>
          <w:rFonts w:hint="eastAsia"/>
        </w:rPr>
        <w:t>影响籽源的</w:t>
      </w:r>
      <w:proofErr w:type="gramEnd"/>
      <w:r>
        <w:rPr>
          <w:rFonts w:hint="eastAsia"/>
        </w:rPr>
        <w:t>安全性。</w:t>
      </w:r>
    </w:p>
    <w:p w14:paraId="475E86CD" w14:textId="77777777" w:rsidR="007752AD" w:rsidRDefault="00000000">
      <w:pPr>
        <w:adjustRightInd w:val="0"/>
        <w:snapToGrid w:val="0"/>
        <w:ind w:firstLineChars="202" w:firstLine="424"/>
        <w:rPr>
          <w:rFonts w:hint="eastAsia"/>
        </w:rPr>
      </w:pPr>
      <w:r>
        <w:rPr>
          <w:rFonts w:hint="eastAsia"/>
        </w:rPr>
        <w:t>2）Ni-Cu合金热籽相对磁导率较高，产热功率高，由于合金热</w:t>
      </w:r>
      <w:proofErr w:type="gramStart"/>
      <w:r>
        <w:rPr>
          <w:rFonts w:hint="eastAsia"/>
        </w:rPr>
        <w:t>籽存在</w:t>
      </w:r>
      <w:proofErr w:type="gramEnd"/>
      <w:r>
        <w:rPr>
          <w:rFonts w:hint="eastAsia"/>
        </w:rPr>
        <w:t>居里点，可在较高的温度实现自控温，因此肿瘤区域通过适形</w:t>
      </w:r>
      <w:proofErr w:type="gramStart"/>
      <w:r>
        <w:rPr>
          <w:rFonts w:hint="eastAsia"/>
        </w:rPr>
        <w:t>植入热籽</w:t>
      </w:r>
      <w:proofErr w:type="gramEnd"/>
      <w:r>
        <w:rPr>
          <w:rFonts w:hint="eastAsia"/>
        </w:rPr>
        <w:t>阵列可实现肿瘤的热疗。</w:t>
      </w:r>
    </w:p>
    <w:p w14:paraId="106636F3" w14:textId="77777777" w:rsidR="007752AD" w:rsidRDefault="00000000">
      <w:pPr>
        <w:adjustRightInd w:val="0"/>
        <w:snapToGrid w:val="0"/>
        <w:ind w:firstLineChars="202" w:firstLine="424"/>
        <w:rPr>
          <w:rFonts w:hint="eastAsia"/>
        </w:rPr>
      </w:pPr>
      <w:r>
        <w:rPr>
          <w:rFonts w:hint="eastAsia"/>
        </w:rPr>
        <w:t>3）磁感应加热可有效地控制加热的集中靶向性，降低了对周边非</w:t>
      </w:r>
      <w:proofErr w:type="gramStart"/>
      <w:r>
        <w:rPr>
          <w:rFonts w:hint="eastAsia"/>
        </w:rPr>
        <w:t>加热区</w:t>
      </w:r>
      <w:proofErr w:type="gramEnd"/>
      <w:r>
        <w:rPr>
          <w:rFonts w:hint="eastAsia"/>
        </w:rPr>
        <w:t>组织的损伤。近距离放疗通过手术植入放射籽源，使得肿瘤区域的辐射剂量远大于周围组织。二者均实现了在周围组织损伤最小化的同时杀灭肿瘤细胞的目的。</w:t>
      </w:r>
    </w:p>
    <w:p w14:paraId="3C56CC8A" w14:textId="77777777" w:rsidR="007752AD" w:rsidRDefault="00000000">
      <w:pPr>
        <w:adjustRightInd w:val="0"/>
        <w:snapToGrid w:val="0"/>
        <w:ind w:firstLineChars="202" w:firstLine="424"/>
        <w:rPr>
          <w:rFonts w:hint="eastAsia"/>
        </w:rPr>
      </w:pPr>
      <w:r>
        <w:rPr>
          <w:rFonts w:hint="eastAsia"/>
        </w:rPr>
        <w:t>新型的磁感应热疗联合放疗结合了二者的优势，同时使用热场和辐射场作用于肿瘤，最大限度的实现了热放疗的协同作用，为肿瘤治疗开辟了新的思路。</w:t>
      </w:r>
    </w:p>
    <w:p w14:paraId="68F18FD0" w14:textId="77777777" w:rsidR="007752AD" w:rsidRDefault="007752AD">
      <w:pPr>
        <w:autoSpaceDE w:val="0"/>
        <w:autoSpaceDN w:val="0"/>
        <w:adjustRightInd w:val="0"/>
        <w:snapToGrid w:val="0"/>
        <w:jc w:val="center"/>
        <w:rPr>
          <w:rFonts w:hint="eastAsia"/>
          <w:b/>
          <w:bCs/>
          <w:szCs w:val="21"/>
        </w:rPr>
      </w:pPr>
    </w:p>
    <w:p w14:paraId="16271BEC" w14:textId="77777777" w:rsidR="007752AD" w:rsidRDefault="00000000">
      <w:pPr>
        <w:autoSpaceDE w:val="0"/>
        <w:autoSpaceDN w:val="0"/>
        <w:adjustRightInd w:val="0"/>
        <w:snapToGrid w:val="0"/>
        <w:ind w:left="271" w:hanging="271"/>
        <w:jc w:val="center"/>
        <w:rPr>
          <w:rFonts w:hint="eastAsia"/>
          <w:sz w:val="15"/>
          <w:szCs w:val="15"/>
        </w:rPr>
      </w:pPr>
      <w:r>
        <w:rPr>
          <w:rFonts w:ascii="黑体" w:eastAsia="黑体" w:hint="eastAsia"/>
          <w:b/>
          <w:bCs/>
          <w:sz w:val="18"/>
          <w:szCs w:val="18"/>
        </w:rPr>
        <w:t>参考文献（References）</w:t>
      </w:r>
    </w:p>
    <w:p w14:paraId="7566DBC9" w14:textId="77777777" w:rsidR="007752AD" w:rsidRDefault="00000000">
      <w:pPr>
        <w:pStyle w:val="afe"/>
        <w:numPr>
          <w:ilvl w:val="0"/>
          <w:numId w:val="2"/>
        </w:numPr>
        <w:adjustRightInd w:val="0"/>
        <w:snapToGrid w:val="0"/>
        <w:ind w:firstLineChars="0"/>
        <w:rPr>
          <w:rFonts w:ascii="Times New Roman" w:hAnsi="Times New Roman"/>
          <w:sz w:val="15"/>
          <w:szCs w:val="15"/>
        </w:rPr>
      </w:pPr>
      <w:proofErr w:type="spellStart"/>
      <w:r>
        <w:rPr>
          <w:rFonts w:ascii="Times New Roman" w:hAnsi="Times New Roman"/>
          <w:sz w:val="15"/>
          <w:szCs w:val="15"/>
        </w:rPr>
        <w:t>Pinkawa</w:t>
      </w:r>
      <w:proofErr w:type="spellEnd"/>
      <w:r>
        <w:rPr>
          <w:rFonts w:ascii="Times New Roman" w:hAnsi="Times New Roman" w:hint="eastAsia"/>
          <w:sz w:val="15"/>
          <w:szCs w:val="15"/>
        </w:rPr>
        <w:t xml:space="preserve"> M</w:t>
      </w:r>
      <w:r>
        <w:rPr>
          <w:rFonts w:ascii="Times New Roman" w:hAnsi="Times New Roman"/>
          <w:sz w:val="15"/>
          <w:szCs w:val="15"/>
        </w:rPr>
        <w:t>,</w:t>
      </w:r>
      <w:r>
        <w:rPr>
          <w:rFonts w:ascii="Times New Roman" w:hAnsi="Times New Roman" w:hint="eastAsia"/>
          <w:sz w:val="15"/>
          <w:szCs w:val="15"/>
        </w:rPr>
        <w:t xml:space="preserve"> </w:t>
      </w:r>
      <w:r>
        <w:rPr>
          <w:rFonts w:ascii="Times New Roman" w:hAnsi="Times New Roman"/>
          <w:sz w:val="15"/>
          <w:szCs w:val="15"/>
        </w:rPr>
        <w:t>Asadpour</w:t>
      </w:r>
      <w:r>
        <w:rPr>
          <w:rFonts w:ascii="Times New Roman" w:hAnsi="Times New Roman" w:hint="eastAsia"/>
          <w:sz w:val="15"/>
          <w:szCs w:val="15"/>
        </w:rPr>
        <w:t xml:space="preserve"> B</w:t>
      </w:r>
      <w:r>
        <w:rPr>
          <w:rFonts w:ascii="Times New Roman" w:hAnsi="Times New Roman"/>
          <w:sz w:val="15"/>
          <w:szCs w:val="15"/>
        </w:rPr>
        <w:t>,</w:t>
      </w:r>
      <w:r>
        <w:rPr>
          <w:rFonts w:ascii="Times New Roman" w:hAnsi="Times New Roman" w:hint="eastAsia"/>
          <w:sz w:val="15"/>
          <w:szCs w:val="15"/>
        </w:rPr>
        <w:t xml:space="preserve"> </w:t>
      </w:r>
      <w:proofErr w:type="spellStart"/>
      <w:r>
        <w:rPr>
          <w:rFonts w:ascii="Times New Roman" w:hAnsi="Times New Roman"/>
          <w:sz w:val="15"/>
          <w:szCs w:val="15"/>
        </w:rPr>
        <w:t>Piroth</w:t>
      </w:r>
      <w:proofErr w:type="spellEnd"/>
      <w:r>
        <w:rPr>
          <w:rFonts w:ascii="Times New Roman" w:hAnsi="Times New Roman" w:hint="eastAsia"/>
          <w:sz w:val="15"/>
          <w:szCs w:val="15"/>
        </w:rPr>
        <w:t xml:space="preserve"> M D</w:t>
      </w:r>
      <w:r>
        <w:rPr>
          <w:rFonts w:ascii="Times New Roman" w:hAnsi="Times New Roman"/>
          <w:sz w:val="15"/>
          <w:szCs w:val="15"/>
        </w:rPr>
        <w:t xml:space="preserve">, et al. Health-related quality of life after permanent I-125 brachytherapy and conformal external </w:t>
      </w:r>
      <w:r>
        <w:rPr>
          <w:rFonts w:ascii="Times New Roman" w:hAnsi="Times New Roman"/>
          <w:sz w:val="15"/>
          <w:szCs w:val="15"/>
        </w:rPr>
        <w:lastRenderedPageBreak/>
        <w:t>beam radiotherapy for prostate cancer – a matched-pair comparison[J]. Radiotherapy and Oncology, 2009, 91</w:t>
      </w:r>
      <w:r>
        <w:rPr>
          <w:rFonts w:ascii="Times New Roman" w:hAnsi="Times New Roman" w:hint="eastAsia"/>
          <w:sz w:val="15"/>
          <w:szCs w:val="15"/>
        </w:rPr>
        <w:t>(2)</w:t>
      </w:r>
      <w:r>
        <w:rPr>
          <w:rFonts w:ascii="Times New Roman" w:hAnsi="Times New Roman"/>
          <w:sz w:val="15"/>
          <w:szCs w:val="15"/>
        </w:rPr>
        <w:t>:</w:t>
      </w:r>
      <w:r>
        <w:rPr>
          <w:rFonts w:ascii="Times New Roman" w:hAnsi="Times New Roman" w:hint="eastAsia"/>
          <w:sz w:val="15"/>
          <w:szCs w:val="15"/>
        </w:rPr>
        <w:t xml:space="preserve"> </w:t>
      </w:r>
      <w:r>
        <w:rPr>
          <w:rFonts w:ascii="Times New Roman" w:hAnsi="Times New Roman"/>
          <w:sz w:val="15"/>
          <w:szCs w:val="15"/>
        </w:rPr>
        <w:t>225-231.</w:t>
      </w:r>
    </w:p>
    <w:p w14:paraId="060AB0EC" w14:textId="77777777" w:rsidR="007752AD" w:rsidRDefault="00000000">
      <w:pPr>
        <w:pStyle w:val="afe"/>
        <w:numPr>
          <w:ilvl w:val="0"/>
          <w:numId w:val="2"/>
        </w:numPr>
        <w:adjustRightInd w:val="0"/>
        <w:snapToGrid w:val="0"/>
        <w:ind w:firstLineChars="0"/>
        <w:rPr>
          <w:rFonts w:ascii="Times New Roman" w:hAnsi="Times New Roman"/>
          <w:sz w:val="15"/>
          <w:szCs w:val="15"/>
        </w:rPr>
      </w:pPr>
      <w:r>
        <w:rPr>
          <w:sz w:val="15"/>
          <w:szCs w:val="15"/>
        </w:rPr>
        <w:t>……</w:t>
      </w:r>
    </w:p>
    <w:p w14:paraId="63320DCC" w14:textId="77777777" w:rsidR="007752AD" w:rsidRDefault="00000000">
      <w:pPr>
        <w:pStyle w:val="afe"/>
        <w:numPr>
          <w:ilvl w:val="0"/>
          <w:numId w:val="2"/>
        </w:numPr>
        <w:adjustRightInd w:val="0"/>
        <w:snapToGrid w:val="0"/>
        <w:ind w:firstLineChars="0"/>
        <w:rPr>
          <w:rFonts w:ascii="Times New Roman" w:hAnsi="Times New Roman"/>
          <w:sz w:val="15"/>
          <w:szCs w:val="15"/>
        </w:rPr>
      </w:pPr>
      <w:r>
        <w:rPr>
          <w:sz w:val="15"/>
          <w:szCs w:val="15"/>
        </w:rPr>
        <w:t>……</w:t>
      </w:r>
    </w:p>
    <w:p w14:paraId="12483091" w14:textId="77777777" w:rsidR="007752AD" w:rsidRDefault="00000000">
      <w:pPr>
        <w:pStyle w:val="afe"/>
        <w:numPr>
          <w:ilvl w:val="0"/>
          <w:numId w:val="2"/>
        </w:numPr>
        <w:adjustRightInd w:val="0"/>
        <w:snapToGrid w:val="0"/>
        <w:ind w:firstLineChars="0"/>
        <w:rPr>
          <w:rFonts w:ascii="Times New Roman" w:hAnsi="Times New Roman"/>
          <w:sz w:val="15"/>
          <w:szCs w:val="15"/>
        </w:rPr>
      </w:pPr>
      <w:r>
        <w:rPr>
          <w:sz w:val="15"/>
          <w:szCs w:val="15"/>
        </w:rPr>
        <w:t>……</w:t>
      </w:r>
    </w:p>
    <w:p w14:paraId="767BDBE7" w14:textId="77777777" w:rsidR="007752AD" w:rsidRDefault="00000000">
      <w:pPr>
        <w:pStyle w:val="afe"/>
        <w:numPr>
          <w:ilvl w:val="0"/>
          <w:numId w:val="2"/>
        </w:numPr>
        <w:adjustRightInd w:val="0"/>
        <w:snapToGrid w:val="0"/>
        <w:ind w:firstLineChars="0"/>
        <w:rPr>
          <w:rFonts w:ascii="Times New Roman" w:hAnsi="Times New Roman"/>
          <w:sz w:val="15"/>
          <w:szCs w:val="15"/>
        </w:rPr>
      </w:pPr>
      <w:r>
        <w:rPr>
          <w:sz w:val="15"/>
          <w:szCs w:val="15"/>
        </w:rPr>
        <w:t>……</w:t>
      </w:r>
    </w:p>
    <w:p w14:paraId="08B013B9" w14:textId="77777777" w:rsidR="007752AD" w:rsidRDefault="00000000">
      <w:pPr>
        <w:adjustRightInd w:val="0"/>
        <w:snapToGrid w:val="0"/>
        <w:rPr>
          <w:rFonts w:hint="eastAsia"/>
          <w:sz w:val="15"/>
          <w:szCs w:val="15"/>
        </w:rPr>
      </w:pPr>
      <w:r>
        <w:rPr>
          <w:rFonts w:hint="eastAsia"/>
          <w:sz w:val="15"/>
          <w:szCs w:val="15"/>
        </w:rPr>
        <w:t>王旭飞, 王晓文, 赵凌云, 等. 磁感应治疗研究和临床试验[J]. 科技导报, 2010, 28(16): 97-105.</w:t>
      </w:r>
    </w:p>
    <w:p w14:paraId="65F15BC6" w14:textId="77777777" w:rsidR="007752AD" w:rsidRDefault="007752AD">
      <w:pPr>
        <w:adjustRightInd w:val="0"/>
        <w:snapToGrid w:val="0"/>
        <w:rPr>
          <w:rFonts w:hint="eastAsia"/>
          <w:sz w:val="15"/>
          <w:szCs w:val="15"/>
        </w:rPr>
      </w:pPr>
    </w:p>
    <w:p w14:paraId="775AA447" w14:textId="77777777" w:rsidR="007752AD" w:rsidRDefault="007752AD">
      <w:pPr>
        <w:adjustRightInd w:val="0"/>
        <w:snapToGrid w:val="0"/>
        <w:rPr>
          <w:rFonts w:hint="eastAsia"/>
          <w:sz w:val="15"/>
          <w:szCs w:val="15"/>
        </w:rPr>
      </w:pPr>
    </w:p>
    <w:p w14:paraId="6B5D2077" w14:textId="77777777" w:rsidR="007752AD" w:rsidRDefault="007752AD">
      <w:pPr>
        <w:adjustRightInd w:val="0"/>
        <w:snapToGrid w:val="0"/>
        <w:rPr>
          <w:rFonts w:hint="eastAsia"/>
          <w:sz w:val="15"/>
          <w:szCs w:val="15"/>
        </w:rPr>
      </w:pPr>
    </w:p>
    <w:p w14:paraId="6EB36BFD" w14:textId="77777777" w:rsidR="007752AD" w:rsidRDefault="007752AD">
      <w:pPr>
        <w:adjustRightInd w:val="0"/>
        <w:snapToGrid w:val="0"/>
        <w:spacing w:line="360" w:lineRule="auto"/>
        <w:rPr>
          <w:rFonts w:hint="eastAsia"/>
          <w:sz w:val="15"/>
          <w:szCs w:val="15"/>
        </w:rPr>
      </w:pPr>
    </w:p>
    <w:p w14:paraId="7442C55D" w14:textId="77777777" w:rsidR="007752AD" w:rsidRDefault="007752AD">
      <w:pPr>
        <w:adjustRightInd w:val="0"/>
        <w:snapToGrid w:val="0"/>
        <w:spacing w:line="360" w:lineRule="auto"/>
        <w:rPr>
          <w:rFonts w:hint="eastAsia"/>
          <w:sz w:val="15"/>
          <w:szCs w:val="15"/>
        </w:rPr>
      </w:pPr>
    </w:p>
    <w:p w14:paraId="409A75C0" w14:textId="77777777" w:rsidR="007752AD" w:rsidRDefault="00000000">
      <w:pPr>
        <w:adjustRightInd w:val="0"/>
        <w:snapToGrid w:val="0"/>
        <w:spacing w:line="360" w:lineRule="auto"/>
        <w:rPr>
          <w:rFonts w:ascii="宋体" w:hAnsi="宋体" w:hint="eastAsia"/>
          <w:b/>
          <w:sz w:val="28"/>
          <w:szCs w:val="28"/>
        </w:rPr>
      </w:pPr>
      <w:r>
        <w:rPr>
          <w:rFonts w:ascii="宋体" w:hAnsi="宋体" w:hint="eastAsia"/>
          <w:b/>
          <w:sz w:val="28"/>
          <w:szCs w:val="28"/>
        </w:rPr>
        <w:t>参考文献格式建议</w:t>
      </w:r>
    </w:p>
    <w:p w14:paraId="00A40F0F" w14:textId="77777777" w:rsidR="007752AD" w:rsidRDefault="00000000">
      <w:pPr>
        <w:adjustRightInd w:val="0"/>
        <w:snapToGrid w:val="0"/>
        <w:spacing w:line="360" w:lineRule="auto"/>
        <w:rPr>
          <w:rFonts w:hint="eastAsia"/>
          <w:color w:val="FF0000"/>
          <w:sz w:val="18"/>
          <w:szCs w:val="18"/>
        </w:rPr>
      </w:pPr>
      <w:r>
        <w:rPr>
          <w:rFonts w:hAnsi="宋体"/>
          <w:color w:val="FF0000"/>
          <w:sz w:val="18"/>
          <w:szCs w:val="18"/>
        </w:rPr>
        <w:t>期刊文献的格式为：作者</w:t>
      </w:r>
      <w:r>
        <w:rPr>
          <w:color w:val="FF0000"/>
          <w:sz w:val="18"/>
          <w:szCs w:val="18"/>
        </w:rPr>
        <w:t>.</w:t>
      </w:r>
      <w:r>
        <w:rPr>
          <w:rFonts w:hAnsi="宋体"/>
          <w:color w:val="FF0000"/>
          <w:sz w:val="18"/>
          <w:szCs w:val="18"/>
        </w:rPr>
        <w:t>文章题目（首单词字母大写，其他小写）</w:t>
      </w:r>
      <w:r>
        <w:rPr>
          <w:rFonts w:hAnsi="宋体" w:hint="eastAsia"/>
          <w:color w:val="FF0000"/>
          <w:sz w:val="18"/>
          <w:szCs w:val="18"/>
        </w:rPr>
        <w:t>[J]</w:t>
      </w:r>
      <w:r>
        <w:rPr>
          <w:color w:val="FF0000"/>
          <w:sz w:val="18"/>
          <w:szCs w:val="18"/>
        </w:rPr>
        <w:t>.</w:t>
      </w:r>
      <w:r>
        <w:rPr>
          <w:rFonts w:hint="eastAsia"/>
          <w:color w:val="FF0000"/>
          <w:sz w:val="18"/>
          <w:szCs w:val="18"/>
        </w:rPr>
        <w:t xml:space="preserve"> </w:t>
      </w:r>
      <w:r>
        <w:rPr>
          <w:rFonts w:hAnsi="宋体"/>
          <w:color w:val="FF0000"/>
          <w:sz w:val="18"/>
          <w:szCs w:val="18"/>
        </w:rPr>
        <w:t>期刊名（各单词首字母大写），年，卷（期）：起</w:t>
      </w:r>
      <w:r>
        <w:rPr>
          <w:color w:val="FF0000"/>
          <w:sz w:val="18"/>
          <w:szCs w:val="18"/>
        </w:rPr>
        <w:t>-</w:t>
      </w:r>
      <w:r>
        <w:rPr>
          <w:rFonts w:hAnsi="宋体"/>
          <w:color w:val="FF0000"/>
          <w:sz w:val="18"/>
          <w:szCs w:val="18"/>
        </w:rPr>
        <w:t>止页码</w:t>
      </w:r>
      <w:r>
        <w:rPr>
          <w:color w:val="FF0000"/>
          <w:sz w:val="18"/>
          <w:szCs w:val="18"/>
        </w:rPr>
        <w:t>.</w:t>
      </w:r>
    </w:p>
    <w:p w14:paraId="30E270CA" w14:textId="77777777" w:rsidR="007752AD" w:rsidRDefault="00000000">
      <w:pPr>
        <w:adjustRightInd w:val="0"/>
        <w:snapToGrid w:val="0"/>
        <w:spacing w:line="360" w:lineRule="auto"/>
        <w:ind w:left="360" w:hangingChars="200" w:hanging="360"/>
        <w:rPr>
          <w:rFonts w:hint="eastAsia"/>
          <w:color w:val="000000"/>
          <w:kern w:val="0"/>
          <w:sz w:val="18"/>
          <w:szCs w:val="18"/>
        </w:rPr>
      </w:pPr>
      <w:r>
        <w:rPr>
          <w:color w:val="000000"/>
          <w:kern w:val="0"/>
          <w:sz w:val="18"/>
          <w:szCs w:val="18"/>
        </w:rPr>
        <w:t xml:space="preserve">[1] </w:t>
      </w:r>
      <w:proofErr w:type="spellStart"/>
      <w:r>
        <w:rPr>
          <w:color w:val="000000"/>
          <w:kern w:val="0"/>
          <w:sz w:val="18"/>
          <w:szCs w:val="18"/>
        </w:rPr>
        <w:t>Kramers</w:t>
      </w:r>
      <w:proofErr w:type="spellEnd"/>
      <w:r>
        <w:rPr>
          <w:color w:val="000000"/>
          <w:kern w:val="0"/>
          <w:sz w:val="18"/>
          <w:szCs w:val="18"/>
        </w:rPr>
        <w:t xml:space="preserve"> J W, Mossop G D, Karem D J, et al</w:t>
      </w:r>
      <w:r>
        <w:rPr>
          <w:i/>
          <w:color w:val="000000"/>
          <w:kern w:val="0"/>
          <w:sz w:val="18"/>
          <w:szCs w:val="18"/>
        </w:rPr>
        <w:t xml:space="preserve">. </w:t>
      </w:r>
      <w:r>
        <w:rPr>
          <w:color w:val="000000"/>
          <w:kern w:val="0"/>
          <w:sz w:val="18"/>
          <w:szCs w:val="18"/>
        </w:rPr>
        <w:t>Geology and development of the Athabasca oil sand deposit[J]. Canadian Mining and Metallurgical Bulletin, 1976, 69(6): 92-99.</w:t>
      </w:r>
    </w:p>
    <w:p w14:paraId="7A0DD404" w14:textId="77777777" w:rsidR="007752AD" w:rsidRDefault="00000000">
      <w:pPr>
        <w:autoSpaceDE w:val="0"/>
        <w:autoSpaceDN w:val="0"/>
        <w:adjustRightInd w:val="0"/>
        <w:snapToGrid w:val="0"/>
        <w:spacing w:line="360" w:lineRule="auto"/>
        <w:ind w:leftChars="-13" w:left="243" w:hangingChars="150" w:hanging="270"/>
        <w:rPr>
          <w:rFonts w:hint="eastAsia"/>
          <w:color w:val="000000"/>
          <w:kern w:val="0"/>
          <w:sz w:val="18"/>
          <w:szCs w:val="18"/>
        </w:rPr>
      </w:pPr>
      <w:r>
        <w:rPr>
          <w:color w:val="000000"/>
          <w:kern w:val="0"/>
          <w:sz w:val="18"/>
          <w:szCs w:val="18"/>
        </w:rPr>
        <w:t xml:space="preserve">[2] </w:t>
      </w:r>
      <w:r>
        <w:rPr>
          <w:rFonts w:hAnsi="宋体"/>
          <w:color w:val="000000"/>
          <w:kern w:val="0"/>
          <w:sz w:val="18"/>
          <w:szCs w:val="18"/>
        </w:rPr>
        <w:t>郑德温</w:t>
      </w:r>
      <w:r>
        <w:rPr>
          <w:color w:val="000000"/>
          <w:kern w:val="0"/>
          <w:sz w:val="18"/>
          <w:szCs w:val="18"/>
        </w:rPr>
        <w:t xml:space="preserve">, </w:t>
      </w:r>
      <w:proofErr w:type="gramStart"/>
      <w:r>
        <w:rPr>
          <w:rFonts w:hAnsi="宋体"/>
          <w:color w:val="000000"/>
          <w:kern w:val="0"/>
          <w:sz w:val="18"/>
          <w:szCs w:val="18"/>
        </w:rPr>
        <w:t>方朝合</w:t>
      </w:r>
      <w:proofErr w:type="gramEnd"/>
      <w:r>
        <w:rPr>
          <w:color w:val="000000"/>
          <w:kern w:val="0"/>
          <w:sz w:val="18"/>
          <w:szCs w:val="18"/>
        </w:rPr>
        <w:t xml:space="preserve">, </w:t>
      </w:r>
      <w:r>
        <w:rPr>
          <w:rFonts w:hAnsi="宋体"/>
          <w:color w:val="000000"/>
          <w:kern w:val="0"/>
          <w:sz w:val="18"/>
          <w:szCs w:val="18"/>
        </w:rPr>
        <w:t>李剑</w:t>
      </w:r>
      <w:r>
        <w:rPr>
          <w:color w:val="000000"/>
          <w:kern w:val="0"/>
          <w:sz w:val="18"/>
          <w:szCs w:val="18"/>
        </w:rPr>
        <w:t xml:space="preserve">, </w:t>
      </w:r>
      <w:r>
        <w:rPr>
          <w:rFonts w:hAnsi="宋体"/>
          <w:color w:val="000000"/>
          <w:kern w:val="0"/>
          <w:sz w:val="18"/>
          <w:szCs w:val="18"/>
        </w:rPr>
        <w:t>等</w:t>
      </w:r>
      <w:r>
        <w:rPr>
          <w:color w:val="000000"/>
          <w:kern w:val="0"/>
          <w:sz w:val="18"/>
          <w:szCs w:val="18"/>
        </w:rPr>
        <w:t xml:space="preserve">. </w:t>
      </w:r>
      <w:r>
        <w:rPr>
          <w:rFonts w:hAnsi="宋体"/>
          <w:color w:val="000000"/>
          <w:kern w:val="0"/>
          <w:sz w:val="18"/>
          <w:szCs w:val="18"/>
        </w:rPr>
        <w:t>油砂开采技术和方法综述</w:t>
      </w:r>
      <w:r>
        <w:rPr>
          <w:color w:val="000000"/>
          <w:kern w:val="0"/>
          <w:sz w:val="18"/>
          <w:szCs w:val="18"/>
        </w:rPr>
        <w:t xml:space="preserve">[J]. </w:t>
      </w:r>
      <w:r>
        <w:rPr>
          <w:rFonts w:hAnsi="宋体"/>
          <w:color w:val="000000"/>
          <w:kern w:val="0"/>
          <w:sz w:val="18"/>
          <w:szCs w:val="18"/>
        </w:rPr>
        <w:t>西南石油大学学报</w:t>
      </w:r>
      <w:r>
        <w:rPr>
          <w:rFonts w:hint="eastAsia"/>
          <w:color w:val="000000"/>
          <w:kern w:val="0"/>
          <w:sz w:val="18"/>
          <w:szCs w:val="18"/>
        </w:rPr>
        <w:t>（</w:t>
      </w:r>
      <w:r>
        <w:rPr>
          <w:rFonts w:hAnsi="宋体"/>
          <w:color w:val="000000"/>
          <w:kern w:val="0"/>
          <w:sz w:val="18"/>
          <w:szCs w:val="18"/>
        </w:rPr>
        <w:t>自然科学版</w:t>
      </w:r>
      <w:r>
        <w:rPr>
          <w:rFonts w:hAnsi="宋体" w:hint="eastAsia"/>
          <w:color w:val="000000"/>
          <w:kern w:val="0"/>
          <w:sz w:val="18"/>
          <w:szCs w:val="18"/>
        </w:rPr>
        <w:t>）</w:t>
      </w:r>
      <w:r>
        <w:rPr>
          <w:color w:val="000000"/>
          <w:kern w:val="0"/>
          <w:sz w:val="18"/>
          <w:szCs w:val="18"/>
        </w:rPr>
        <w:t>, 2008, 30(6): 105-109.</w:t>
      </w:r>
    </w:p>
    <w:p w14:paraId="7F8B929A" w14:textId="77777777" w:rsidR="007752AD" w:rsidRDefault="00000000">
      <w:pPr>
        <w:adjustRightInd w:val="0"/>
        <w:snapToGrid w:val="0"/>
        <w:spacing w:line="360" w:lineRule="auto"/>
        <w:rPr>
          <w:rFonts w:hint="eastAsia"/>
          <w:color w:val="FF0000"/>
          <w:sz w:val="18"/>
          <w:szCs w:val="18"/>
        </w:rPr>
      </w:pPr>
      <w:r>
        <w:rPr>
          <w:rFonts w:hAnsi="宋体"/>
          <w:color w:val="FF0000"/>
          <w:sz w:val="18"/>
          <w:szCs w:val="18"/>
        </w:rPr>
        <w:t>会议论文的格式为：主要责任者</w:t>
      </w:r>
      <w:r>
        <w:rPr>
          <w:color w:val="FF0000"/>
          <w:sz w:val="18"/>
          <w:szCs w:val="18"/>
        </w:rPr>
        <w:t xml:space="preserve">. </w:t>
      </w:r>
      <w:r>
        <w:rPr>
          <w:rFonts w:hAnsi="宋体"/>
          <w:color w:val="FF0000"/>
          <w:sz w:val="18"/>
          <w:szCs w:val="18"/>
        </w:rPr>
        <w:t>题名</w:t>
      </w:r>
      <w:r>
        <w:rPr>
          <w:color w:val="FF0000"/>
          <w:sz w:val="18"/>
          <w:szCs w:val="18"/>
        </w:rPr>
        <w:t>[C]//</w:t>
      </w:r>
      <w:r>
        <w:rPr>
          <w:rFonts w:hAnsi="宋体"/>
          <w:color w:val="FF0000"/>
          <w:sz w:val="18"/>
          <w:szCs w:val="18"/>
        </w:rPr>
        <w:t>会议论文会议名称</w:t>
      </w:r>
      <w:r>
        <w:rPr>
          <w:color w:val="FF0000"/>
          <w:sz w:val="18"/>
          <w:szCs w:val="18"/>
        </w:rPr>
        <w:t>.</w:t>
      </w:r>
      <w:r>
        <w:rPr>
          <w:rFonts w:hint="eastAsia"/>
          <w:color w:val="FF0000"/>
          <w:sz w:val="18"/>
          <w:szCs w:val="18"/>
        </w:rPr>
        <w:t xml:space="preserve"> </w:t>
      </w:r>
      <w:r>
        <w:rPr>
          <w:rFonts w:hAnsi="宋体"/>
          <w:color w:val="FF0000"/>
          <w:sz w:val="18"/>
          <w:szCs w:val="18"/>
        </w:rPr>
        <w:t>地点：会议论文出版人，年：起</w:t>
      </w:r>
      <w:r>
        <w:rPr>
          <w:color w:val="FF0000"/>
          <w:sz w:val="18"/>
          <w:szCs w:val="18"/>
        </w:rPr>
        <w:t>-</w:t>
      </w:r>
      <w:r>
        <w:rPr>
          <w:rFonts w:hAnsi="宋体"/>
          <w:color w:val="FF0000"/>
          <w:sz w:val="18"/>
          <w:szCs w:val="18"/>
        </w:rPr>
        <w:t>止页码</w:t>
      </w:r>
      <w:r>
        <w:rPr>
          <w:color w:val="FF0000"/>
          <w:sz w:val="18"/>
          <w:szCs w:val="18"/>
        </w:rPr>
        <w:t>.</w:t>
      </w:r>
    </w:p>
    <w:p w14:paraId="28840AD1" w14:textId="77777777" w:rsidR="007752AD" w:rsidRDefault="00000000">
      <w:pPr>
        <w:adjustRightInd w:val="0"/>
        <w:snapToGrid w:val="0"/>
        <w:spacing w:line="360" w:lineRule="auto"/>
        <w:ind w:left="360" w:hangingChars="200" w:hanging="360"/>
        <w:rPr>
          <w:rFonts w:hint="eastAsia"/>
          <w:color w:val="000000"/>
          <w:sz w:val="18"/>
          <w:szCs w:val="18"/>
        </w:rPr>
      </w:pPr>
      <w:r>
        <w:rPr>
          <w:color w:val="000000"/>
          <w:sz w:val="18"/>
          <w:szCs w:val="18"/>
        </w:rPr>
        <w:t>[3]</w:t>
      </w:r>
      <w:r>
        <w:rPr>
          <w:rFonts w:hint="eastAsia"/>
          <w:color w:val="000000"/>
          <w:sz w:val="18"/>
          <w:szCs w:val="18"/>
        </w:rPr>
        <w:t xml:space="preserve"> </w:t>
      </w:r>
      <w:r>
        <w:rPr>
          <w:color w:val="000000"/>
          <w:sz w:val="18"/>
          <w:szCs w:val="18"/>
        </w:rPr>
        <w:t>Reynolds C W. Steering behaviors for autonomous characters[C]//Proceedings of Game Developers Conference 1999. San Francisco, USA: Miller Freeman Game Group, 1999</w:t>
      </w:r>
      <w:r>
        <w:rPr>
          <w:rFonts w:hAnsi="宋体"/>
          <w:color w:val="000000"/>
          <w:sz w:val="18"/>
          <w:szCs w:val="18"/>
        </w:rPr>
        <w:t>：</w:t>
      </w:r>
      <w:r>
        <w:rPr>
          <w:color w:val="000000"/>
          <w:sz w:val="18"/>
          <w:szCs w:val="18"/>
        </w:rPr>
        <w:t>763-782.</w:t>
      </w:r>
    </w:p>
    <w:p w14:paraId="6C9FCAEA" w14:textId="77777777" w:rsidR="007752AD" w:rsidRDefault="00000000">
      <w:pPr>
        <w:adjustRightInd w:val="0"/>
        <w:snapToGrid w:val="0"/>
        <w:spacing w:line="360" w:lineRule="auto"/>
        <w:ind w:left="360" w:hangingChars="200" w:hanging="360"/>
        <w:rPr>
          <w:rFonts w:hint="eastAsia"/>
          <w:sz w:val="18"/>
          <w:szCs w:val="18"/>
        </w:rPr>
      </w:pPr>
      <w:bookmarkStart w:id="0" w:name="OLE_LINK167"/>
      <w:bookmarkStart w:id="1" w:name="OLE_LINK166"/>
      <w:bookmarkStart w:id="2" w:name="_Ref185497755"/>
      <w:r>
        <w:rPr>
          <w:sz w:val="18"/>
          <w:szCs w:val="18"/>
        </w:rPr>
        <w:t>[</w:t>
      </w:r>
      <w:r>
        <w:rPr>
          <w:rFonts w:hint="eastAsia"/>
          <w:sz w:val="18"/>
          <w:szCs w:val="18"/>
        </w:rPr>
        <w:t>4</w:t>
      </w:r>
      <w:r>
        <w:rPr>
          <w:sz w:val="18"/>
          <w:szCs w:val="18"/>
        </w:rPr>
        <w:t xml:space="preserve">] </w:t>
      </w:r>
      <w:r>
        <w:rPr>
          <w:rFonts w:hAnsi="宋体"/>
          <w:sz w:val="18"/>
          <w:szCs w:val="18"/>
        </w:rPr>
        <w:t>欧阳沁</w:t>
      </w:r>
      <w:r>
        <w:rPr>
          <w:sz w:val="18"/>
          <w:szCs w:val="18"/>
        </w:rPr>
        <w:t xml:space="preserve">, </w:t>
      </w:r>
      <w:proofErr w:type="gramStart"/>
      <w:r>
        <w:rPr>
          <w:rFonts w:hAnsi="宋体"/>
          <w:sz w:val="18"/>
          <w:szCs w:val="18"/>
        </w:rPr>
        <w:t>朱颖心</w:t>
      </w:r>
      <w:proofErr w:type="gramEnd"/>
      <w:r>
        <w:rPr>
          <w:sz w:val="18"/>
          <w:szCs w:val="18"/>
        </w:rPr>
        <w:t xml:space="preserve">. </w:t>
      </w:r>
      <w:bookmarkStart w:id="3" w:name="OLE_LINK35"/>
      <w:bookmarkStart w:id="4" w:name="OLE_LINK34"/>
      <w:bookmarkStart w:id="5" w:name="OLE_LINK120"/>
      <w:r>
        <w:rPr>
          <w:rFonts w:hAnsi="宋体"/>
          <w:sz w:val="18"/>
          <w:szCs w:val="18"/>
        </w:rPr>
        <w:t>自然风的</w:t>
      </w:r>
      <w:r>
        <w:rPr>
          <w:sz w:val="18"/>
          <w:szCs w:val="18"/>
        </w:rPr>
        <w:t>1/f</w:t>
      </w:r>
      <w:proofErr w:type="gramStart"/>
      <w:r>
        <w:rPr>
          <w:rFonts w:hAnsi="宋体"/>
          <w:sz w:val="18"/>
          <w:szCs w:val="18"/>
        </w:rPr>
        <w:t>紊</w:t>
      </w:r>
      <w:proofErr w:type="gramEnd"/>
      <w:r>
        <w:rPr>
          <w:rFonts w:hAnsi="宋体"/>
          <w:sz w:val="18"/>
          <w:szCs w:val="18"/>
        </w:rPr>
        <w:t>动特性的</w:t>
      </w:r>
      <w:bookmarkStart w:id="6" w:name="OLE_LINK144"/>
      <w:bookmarkStart w:id="7" w:name="OLE_LINK143"/>
      <w:r>
        <w:rPr>
          <w:rFonts w:hAnsi="宋体"/>
          <w:sz w:val="18"/>
          <w:szCs w:val="18"/>
        </w:rPr>
        <w:t>研究现状</w:t>
      </w:r>
      <w:bookmarkEnd w:id="6"/>
      <w:bookmarkEnd w:id="7"/>
      <w:r>
        <w:rPr>
          <w:rFonts w:hAnsi="宋体"/>
          <w:sz w:val="18"/>
          <w:szCs w:val="18"/>
        </w:rPr>
        <w:t>与展望</w:t>
      </w:r>
      <w:bookmarkEnd w:id="3"/>
      <w:bookmarkEnd w:id="4"/>
      <w:bookmarkEnd w:id="5"/>
      <w:r>
        <w:rPr>
          <w:sz w:val="18"/>
          <w:szCs w:val="18"/>
        </w:rPr>
        <w:t>[C</w:t>
      </w:r>
      <w:bookmarkStart w:id="8" w:name="OLE_LINK133"/>
      <w:bookmarkStart w:id="9" w:name="OLE_LINK134"/>
      <w:bookmarkStart w:id="10" w:name="OLE_LINK135"/>
      <w:r>
        <w:rPr>
          <w:sz w:val="18"/>
          <w:szCs w:val="18"/>
        </w:rPr>
        <w:t>]//</w:t>
      </w:r>
      <w:r>
        <w:rPr>
          <w:rFonts w:hAnsi="宋体"/>
          <w:sz w:val="18"/>
          <w:szCs w:val="18"/>
        </w:rPr>
        <w:t>全国暖通空调制冷</w:t>
      </w:r>
      <w:r>
        <w:rPr>
          <w:sz w:val="18"/>
          <w:szCs w:val="18"/>
        </w:rPr>
        <w:t>2002</w:t>
      </w:r>
      <w:r>
        <w:rPr>
          <w:rFonts w:hAnsi="宋体"/>
          <w:sz w:val="18"/>
          <w:szCs w:val="18"/>
        </w:rPr>
        <w:t>年学术年会论文集</w:t>
      </w:r>
      <w:bookmarkEnd w:id="8"/>
      <w:bookmarkEnd w:id="9"/>
      <w:bookmarkEnd w:id="10"/>
      <w:r>
        <w:rPr>
          <w:sz w:val="18"/>
          <w:szCs w:val="18"/>
        </w:rPr>
        <w:t xml:space="preserve">. </w:t>
      </w:r>
      <w:r>
        <w:rPr>
          <w:rFonts w:hAnsi="宋体"/>
          <w:sz w:val="18"/>
          <w:szCs w:val="18"/>
        </w:rPr>
        <w:t>北京</w:t>
      </w:r>
      <w:r>
        <w:rPr>
          <w:sz w:val="18"/>
          <w:szCs w:val="18"/>
        </w:rPr>
        <w:t xml:space="preserve">: </w:t>
      </w:r>
      <w:r>
        <w:rPr>
          <w:rFonts w:hAnsi="宋体"/>
          <w:sz w:val="18"/>
          <w:szCs w:val="18"/>
        </w:rPr>
        <w:t>中国建筑工业出版社</w:t>
      </w:r>
      <w:r>
        <w:rPr>
          <w:sz w:val="18"/>
          <w:szCs w:val="18"/>
        </w:rPr>
        <w:t>, 2002: 292-295.</w:t>
      </w:r>
      <w:bookmarkEnd w:id="0"/>
      <w:bookmarkEnd w:id="1"/>
      <w:bookmarkEnd w:id="2"/>
    </w:p>
    <w:p w14:paraId="49386ECA" w14:textId="77777777" w:rsidR="007752AD" w:rsidRDefault="00000000">
      <w:pPr>
        <w:adjustRightInd w:val="0"/>
        <w:snapToGrid w:val="0"/>
        <w:spacing w:line="360" w:lineRule="auto"/>
        <w:rPr>
          <w:rFonts w:hint="eastAsia"/>
          <w:color w:val="FF0000"/>
          <w:sz w:val="18"/>
          <w:szCs w:val="18"/>
        </w:rPr>
      </w:pPr>
      <w:r>
        <w:rPr>
          <w:rFonts w:hAnsi="宋体"/>
          <w:color w:val="FF0000"/>
          <w:sz w:val="18"/>
          <w:szCs w:val="18"/>
        </w:rPr>
        <w:t>图书专著的格式为：主要责任者</w:t>
      </w:r>
      <w:r>
        <w:rPr>
          <w:color w:val="FF0000"/>
          <w:sz w:val="18"/>
          <w:szCs w:val="18"/>
        </w:rPr>
        <w:t xml:space="preserve">. </w:t>
      </w:r>
      <w:r>
        <w:rPr>
          <w:rFonts w:hAnsi="宋体" w:hint="eastAsia"/>
          <w:color w:val="FF0000"/>
          <w:sz w:val="18"/>
          <w:szCs w:val="18"/>
        </w:rPr>
        <w:t>图书名</w:t>
      </w:r>
      <w:r>
        <w:rPr>
          <w:color w:val="FF0000"/>
          <w:sz w:val="18"/>
          <w:szCs w:val="18"/>
        </w:rPr>
        <w:t>[M].</w:t>
      </w:r>
      <w:r>
        <w:rPr>
          <w:rFonts w:hAnsi="宋体"/>
          <w:color w:val="FF0000"/>
          <w:sz w:val="18"/>
          <w:szCs w:val="18"/>
        </w:rPr>
        <w:t>出版地：出版单位，出版年</w:t>
      </w:r>
      <w:r>
        <w:rPr>
          <w:color w:val="FF0000"/>
          <w:sz w:val="18"/>
          <w:szCs w:val="18"/>
        </w:rPr>
        <w:t>:</w:t>
      </w:r>
      <w:r>
        <w:rPr>
          <w:rFonts w:hAnsi="宋体"/>
          <w:color w:val="FF0000"/>
          <w:sz w:val="18"/>
          <w:szCs w:val="18"/>
        </w:rPr>
        <w:t>引用页码</w:t>
      </w:r>
      <w:r>
        <w:rPr>
          <w:color w:val="FF0000"/>
          <w:sz w:val="18"/>
          <w:szCs w:val="18"/>
        </w:rPr>
        <w:t>.</w:t>
      </w:r>
    </w:p>
    <w:p w14:paraId="14FF17EC" w14:textId="77777777" w:rsidR="007752AD" w:rsidRDefault="00000000">
      <w:pPr>
        <w:autoSpaceDE w:val="0"/>
        <w:autoSpaceDN w:val="0"/>
        <w:adjustRightInd w:val="0"/>
        <w:snapToGrid w:val="0"/>
        <w:spacing w:line="360" w:lineRule="auto"/>
        <w:ind w:leftChars="-13" w:left="243" w:hangingChars="150" w:hanging="270"/>
        <w:rPr>
          <w:rFonts w:hint="eastAsia"/>
          <w:color w:val="000000"/>
          <w:kern w:val="0"/>
          <w:sz w:val="18"/>
          <w:szCs w:val="18"/>
        </w:rPr>
      </w:pPr>
      <w:r>
        <w:rPr>
          <w:color w:val="000000"/>
          <w:kern w:val="0"/>
          <w:sz w:val="18"/>
          <w:szCs w:val="18"/>
        </w:rPr>
        <w:t>[</w:t>
      </w:r>
      <w:r>
        <w:rPr>
          <w:rFonts w:hint="eastAsia"/>
          <w:color w:val="000000"/>
          <w:kern w:val="0"/>
          <w:sz w:val="18"/>
          <w:szCs w:val="18"/>
        </w:rPr>
        <w:t>5</w:t>
      </w:r>
      <w:r>
        <w:rPr>
          <w:color w:val="000000"/>
          <w:kern w:val="0"/>
          <w:sz w:val="18"/>
          <w:szCs w:val="18"/>
        </w:rPr>
        <w:t>] Ardine D. Fuel of the future: Cretaceous oil sand of western Canada[M]. Calgary: Canadian Society of Petroleum Geologists, 1974</w:t>
      </w:r>
      <w:r>
        <w:rPr>
          <w:rFonts w:hint="eastAsia"/>
          <w:color w:val="000000"/>
          <w:kern w:val="0"/>
          <w:sz w:val="18"/>
          <w:szCs w:val="18"/>
        </w:rPr>
        <w:t>: 1</w:t>
      </w:r>
      <w:r>
        <w:rPr>
          <w:color w:val="000000"/>
          <w:kern w:val="0"/>
          <w:sz w:val="18"/>
          <w:szCs w:val="18"/>
        </w:rPr>
        <w:t>.</w:t>
      </w:r>
    </w:p>
    <w:p w14:paraId="194578BA" w14:textId="77777777" w:rsidR="007752AD" w:rsidRDefault="00000000">
      <w:pPr>
        <w:adjustRightInd w:val="0"/>
        <w:snapToGrid w:val="0"/>
        <w:spacing w:line="360" w:lineRule="auto"/>
        <w:ind w:left="360" w:hangingChars="200" w:hanging="360"/>
        <w:rPr>
          <w:rFonts w:hint="eastAsia"/>
          <w:sz w:val="18"/>
          <w:szCs w:val="18"/>
        </w:rPr>
      </w:pPr>
      <w:r>
        <w:rPr>
          <w:sz w:val="18"/>
          <w:szCs w:val="18"/>
        </w:rPr>
        <w:t>[</w:t>
      </w:r>
      <w:r>
        <w:rPr>
          <w:rFonts w:hint="eastAsia"/>
          <w:sz w:val="18"/>
          <w:szCs w:val="18"/>
        </w:rPr>
        <w:t>6</w:t>
      </w:r>
      <w:r>
        <w:rPr>
          <w:sz w:val="18"/>
          <w:szCs w:val="18"/>
        </w:rPr>
        <w:t xml:space="preserve">] </w:t>
      </w:r>
      <w:bookmarkStart w:id="11" w:name="_Ref320798362"/>
      <w:r>
        <w:rPr>
          <w:rFonts w:hAnsi="宋体"/>
          <w:sz w:val="18"/>
          <w:szCs w:val="18"/>
        </w:rPr>
        <w:t>王福军</w:t>
      </w:r>
      <w:r>
        <w:rPr>
          <w:sz w:val="18"/>
          <w:szCs w:val="18"/>
        </w:rPr>
        <w:t xml:space="preserve">. </w:t>
      </w:r>
      <w:r>
        <w:rPr>
          <w:rFonts w:hAnsi="宋体"/>
          <w:sz w:val="18"/>
          <w:szCs w:val="18"/>
        </w:rPr>
        <w:t>计算流体动力学分析</w:t>
      </w:r>
      <w:r>
        <w:rPr>
          <w:rFonts w:hint="eastAsia"/>
          <w:sz w:val="18"/>
          <w:szCs w:val="18"/>
        </w:rPr>
        <w:t>——</w:t>
      </w:r>
      <w:r>
        <w:rPr>
          <w:sz w:val="18"/>
          <w:szCs w:val="18"/>
        </w:rPr>
        <w:t>CFD</w:t>
      </w:r>
      <w:r>
        <w:rPr>
          <w:rFonts w:hAnsi="宋体"/>
          <w:sz w:val="18"/>
          <w:szCs w:val="18"/>
        </w:rPr>
        <w:t>软件原理与应用</w:t>
      </w:r>
      <w:r>
        <w:rPr>
          <w:sz w:val="18"/>
          <w:szCs w:val="18"/>
        </w:rPr>
        <w:t xml:space="preserve">[M]. </w:t>
      </w:r>
      <w:r>
        <w:rPr>
          <w:rFonts w:hint="eastAsia"/>
          <w:sz w:val="18"/>
          <w:szCs w:val="18"/>
        </w:rPr>
        <w:t>第</w:t>
      </w:r>
      <w:r>
        <w:rPr>
          <w:sz w:val="18"/>
          <w:szCs w:val="18"/>
        </w:rPr>
        <w:t>3</w:t>
      </w:r>
      <w:r>
        <w:rPr>
          <w:rFonts w:hint="eastAsia"/>
          <w:sz w:val="18"/>
          <w:szCs w:val="18"/>
        </w:rPr>
        <w:t>版</w:t>
      </w:r>
      <w:r>
        <w:rPr>
          <w:sz w:val="18"/>
          <w:szCs w:val="18"/>
        </w:rPr>
        <w:t xml:space="preserve">. </w:t>
      </w:r>
      <w:r>
        <w:rPr>
          <w:rFonts w:hAnsi="宋体"/>
          <w:sz w:val="18"/>
          <w:szCs w:val="18"/>
        </w:rPr>
        <w:t>北京</w:t>
      </w:r>
      <w:r>
        <w:rPr>
          <w:sz w:val="18"/>
          <w:szCs w:val="18"/>
        </w:rPr>
        <w:t xml:space="preserve">: </w:t>
      </w:r>
      <w:r>
        <w:rPr>
          <w:rFonts w:hAnsi="宋体"/>
          <w:sz w:val="18"/>
          <w:szCs w:val="18"/>
        </w:rPr>
        <w:t>清华大学出版社</w:t>
      </w:r>
      <w:r>
        <w:rPr>
          <w:sz w:val="18"/>
          <w:szCs w:val="18"/>
        </w:rPr>
        <w:t>, 2004: 116-119</w:t>
      </w:r>
      <w:bookmarkEnd w:id="11"/>
      <w:r>
        <w:rPr>
          <w:sz w:val="18"/>
          <w:szCs w:val="18"/>
        </w:rPr>
        <w:t>.</w:t>
      </w:r>
    </w:p>
    <w:p w14:paraId="19352FB2" w14:textId="77777777" w:rsidR="007752AD" w:rsidRDefault="00000000">
      <w:pPr>
        <w:adjustRightInd w:val="0"/>
        <w:snapToGrid w:val="0"/>
        <w:spacing w:line="360" w:lineRule="auto"/>
        <w:rPr>
          <w:rFonts w:hAnsi="宋体" w:hint="eastAsia"/>
          <w:color w:val="FF0000"/>
          <w:sz w:val="18"/>
          <w:szCs w:val="18"/>
        </w:rPr>
      </w:pPr>
      <w:r>
        <w:rPr>
          <w:rFonts w:hAnsi="宋体"/>
          <w:color w:val="FF0000"/>
          <w:sz w:val="18"/>
          <w:szCs w:val="18"/>
        </w:rPr>
        <w:t>学位论文</w:t>
      </w:r>
      <w:r>
        <w:rPr>
          <w:rFonts w:hAnsi="宋体" w:hint="eastAsia"/>
          <w:color w:val="FF0000"/>
          <w:sz w:val="18"/>
          <w:szCs w:val="18"/>
        </w:rPr>
        <w:t>的格式为</w:t>
      </w:r>
      <w:r>
        <w:rPr>
          <w:rFonts w:hAnsi="宋体"/>
          <w:color w:val="FF0000"/>
          <w:sz w:val="18"/>
          <w:szCs w:val="18"/>
        </w:rPr>
        <w:t>：作者.</w:t>
      </w:r>
      <w:r>
        <w:rPr>
          <w:rFonts w:hAnsi="宋体" w:hint="eastAsia"/>
          <w:color w:val="FF0000"/>
          <w:sz w:val="18"/>
          <w:szCs w:val="18"/>
        </w:rPr>
        <w:t xml:space="preserve"> 论文</w:t>
      </w:r>
      <w:r>
        <w:rPr>
          <w:rFonts w:hAnsi="宋体"/>
          <w:color w:val="FF0000"/>
          <w:sz w:val="18"/>
          <w:szCs w:val="18"/>
        </w:rPr>
        <w:t>题目（首单词字母大写，其他小写）</w:t>
      </w:r>
      <w:r>
        <w:rPr>
          <w:rFonts w:hAnsi="宋体" w:hint="eastAsia"/>
          <w:color w:val="FF0000"/>
          <w:sz w:val="18"/>
          <w:szCs w:val="18"/>
        </w:rPr>
        <w:t>[D]</w:t>
      </w:r>
      <w:r>
        <w:rPr>
          <w:rFonts w:hAnsi="宋体"/>
          <w:color w:val="FF0000"/>
          <w:sz w:val="18"/>
          <w:szCs w:val="18"/>
        </w:rPr>
        <w:t>.</w:t>
      </w:r>
      <w:r>
        <w:rPr>
          <w:rFonts w:hAnsi="宋体" w:hint="eastAsia"/>
          <w:color w:val="FF0000"/>
          <w:sz w:val="18"/>
          <w:szCs w:val="18"/>
        </w:rPr>
        <w:t xml:space="preserve"> 城市：学校及院系，答辩年</w:t>
      </w:r>
      <w:r>
        <w:rPr>
          <w:rFonts w:hAnsi="宋体"/>
          <w:color w:val="FF0000"/>
          <w:sz w:val="18"/>
          <w:szCs w:val="18"/>
        </w:rPr>
        <w:t>.</w:t>
      </w:r>
    </w:p>
    <w:p w14:paraId="28737504" w14:textId="77777777" w:rsidR="007752AD" w:rsidRDefault="00000000">
      <w:pPr>
        <w:adjustRightInd w:val="0"/>
        <w:snapToGrid w:val="0"/>
        <w:spacing w:line="360" w:lineRule="auto"/>
        <w:rPr>
          <w:rFonts w:hint="eastAsia"/>
          <w:sz w:val="18"/>
          <w:szCs w:val="18"/>
        </w:rPr>
      </w:pPr>
      <w:r>
        <w:rPr>
          <w:sz w:val="18"/>
          <w:szCs w:val="18"/>
        </w:rPr>
        <w:t>[</w:t>
      </w:r>
      <w:r>
        <w:rPr>
          <w:rFonts w:hint="eastAsia"/>
          <w:sz w:val="18"/>
          <w:szCs w:val="18"/>
        </w:rPr>
        <w:t>7</w:t>
      </w:r>
      <w:r>
        <w:rPr>
          <w:sz w:val="18"/>
          <w:szCs w:val="18"/>
        </w:rPr>
        <w:t xml:space="preserve">] </w:t>
      </w:r>
      <w:bookmarkStart w:id="12" w:name="_Ref182477818"/>
      <w:r>
        <w:rPr>
          <w:rFonts w:hAnsi="宋体"/>
          <w:sz w:val="18"/>
          <w:szCs w:val="18"/>
        </w:rPr>
        <w:t>巨永平</w:t>
      </w:r>
      <w:r>
        <w:rPr>
          <w:sz w:val="18"/>
          <w:szCs w:val="18"/>
        </w:rPr>
        <w:t xml:space="preserve">. </w:t>
      </w:r>
      <w:bookmarkStart w:id="13" w:name="OLE_LINK130"/>
      <w:bookmarkStart w:id="14" w:name="OLE_LINK129"/>
      <w:r>
        <w:rPr>
          <w:rFonts w:hAnsi="宋体"/>
          <w:sz w:val="18"/>
          <w:szCs w:val="18"/>
        </w:rPr>
        <w:t>房间气流</w:t>
      </w:r>
      <w:proofErr w:type="gramStart"/>
      <w:r>
        <w:rPr>
          <w:rFonts w:hAnsi="宋体"/>
          <w:sz w:val="18"/>
          <w:szCs w:val="18"/>
        </w:rPr>
        <w:t>紊</w:t>
      </w:r>
      <w:proofErr w:type="gramEnd"/>
      <w:r>
        <w:rPr>
          <w:rFonts w:hAnsi="宋体"/>
          <w:sz w:val="18"/>
          <w:szCs w:val="18"/>
        </w:rPr>
        <w:t>动特性的研究</w:t>
      </w:r>
      <w:bookmarkEnd w:id="12"/>
      <w:bookmarkEnd w:id="13"/>
      <w:bookmarkEnd w:id="14"/>
      <w:r>
        <w:rPr>
          <w:sz w:val="18"/>
          <w:szCs w:val="18"/>
        </w:rPr>
        <w:t xml:space="preserve">[D]. </w:t>
      </w:r>
      <w:r>
        <w:rPr>
          <w:rFonts w:hAnsi="宋体"/>
          <w:sz w:val="18"/>
          <w:szCs w:val="18"/>
        </w:rPr>
        <w:t>天津</w:t>
      </w:r>
      <w:r>
        <w:rPr>
          <w:sz w:val="18"/>
          <w:szCs w:val="18"/>
        </w:rPr>
        <w:t xml:space="preserve">: </w:t>
      </w:r>
      <w:r>
        <w:rPr>
          <w:rFonts w:hAnsi="宋体"/>
          <w:sz w:val="18"/>
          <w:szCs w:val="18"/>
        </w:rPr>
        <w:t>天津大学物理系</w:t>
      </w:r>
      <w:r>
        <w:rPr>
          <w:sz w:val="18"/>
          <w:szCs w:val="18"/>
        </w:rPr>
        <w:t>, 1996.</w:t>
      </w:r>
    </w:p>
    <w:p w14:paraId="705CDA84" w14:textId="77777777" w:rsidR="007752AD" w:rsidRDefault="00000000">
      <w:pPr>
        <w:adjustRightInd w:val="0"/>
        <w:snapToGrid w:val="0"/>
        <w:spacing w:line="360" w:lineRule="auto"/>
        <w:rPr>
          <w:rFonts w:hint="eastAsia"/>
          <w:color w:val="FF0000"/>
          <w:sz w:val="18"/>
          <w:szCs w:val="18"/>
        </w:rPr>
      </w:pPr>
      <w:r>
        <w:rPr>
          <w:rFonts w:hAnsi="宋体"/>
          <w:color w:val="FF0000"/>
          <w:sz w:val="18"/>
          <w:szCs w:val="18"/>
        </w:rPr>
        <w:t>科技报告：作者</w:t>
      </w:r>
      <w:r>
        <w:rPr>
          <w:color w:val="FF0000"/>
          <w:sz w:val="18"/>
          <w:szCs w:val="18"/>
        </w:rPr>
        <w:t>.</w:t>
      </w:r>
      <w:r>
        <w:rPr>
          <w:rFonts w:hAnsi="宋体" w:hint="eastAsia"/>
          <w:color w:val="FF0000"/>
          <w:sz w:val="18"/>
          <w:szCs w:val="18"/>
        </w:rPr>
        <w:t>报告</w:t>
      </w:r>
      <w:r>
        <w:rPr>
          <w:rFonts w:hAnsi="宋体"/>
          <w:color w:val="FF0000"/>
          <w:sz w:val="18"/>
          <w:szCs w:val="18"/>
        </w:rPr>
        <w:t>题目（首单词字母大写，其他小写）</w:t>
      </w:r>
      <w:r>
        <w:rPr>
          <w:rFonts w:hAnsi="宋体" w:hint="eastAsia"/>
          <w:color w:val="FF0000"/>
          <w:sz w:val="18"/>
          <w:szCs w:val="18"/>
        </w:rPr>
        <w:t>[R]</w:t>
      </w:r>
      <w:r>
        <w:rPr>
          <w:color w:val="FF0000"/>
          <w:sz w:val="18"/>
          <w:szCs w:val="18"/>
        </w:rPr>
        <w:t>.</w:t>
      </w:r>
      <w:r>
        <w:rPr>
          <w:rFonts w:hAnsi="宋体" w:hint="eastAsia"/>
          <w:color w:val="FF0000"/>
          <w:sz w:val="18"/>
          <w:szCs w:val="18"/>
        </w:rPr>
        <w:t xml:space="preserve"> 城市：机构名称</w:t>
      </w:r>
      <w:r>
        <w:rPr>
          <w:rFonts w:hAnsi="宋体"/>
          <w:color w:val="FF0000"/>
          <w:sz w:val="18"/>
          <w:szCs w:val="18"/>
        </w:rPr>
        <w:t>，</w:t>
      </w:r>
      <w:r>
        <w:rPr>
          <w:rFonts w:hAnsi="宋体" w:hint="eastAsia"/>
          <w:color w:val="FF0000"/>
          <w:sz w:val="18"/>
          <w:szCs w:val="18"/>
        </w:rPr>
        <w:t>发布</w:t>
      </w:r>
      <w:r>
        <w:rPr>
          <w:rFonts w:hAnsi="宋体"/>
          <w:color w:val="FF0000"/>
          <w:sz w:val="18"/>
          <w:szCs w:val="18"/>
        </w:rPr>
        <w:t>年.</w:t>
      </w:r>
    </w:p>
    <w:p w14:paraId="3537DF68" w14:textId="77777777" w:rsidR="007752AD" w:rsidRDefault="00000000">
      <w:pPr>
        <w:autoSpaceDE w:val="0"/>
        <w:autoSpaceDN w:val="0"/>
        <w:adjustRightInd w:val="0"/>
        <w:snapToGrid w:val="0"/>
        <w:spacing w:line="360" w:lineRule="auto"/>
        <w:ind w:left="360" w:hangingChars="200" w:hanging="360"/>
        <w:rPr>
          <w:rFonts w:hint="eastAsia"/>
          <w:kern w:val="0"/>
          <w:sz w:val="18"/>
          <w:szCs w:val="18"/>
        </w:rPr>
      </w:pPr>
      <w:r>
        <w:rPr>
          <w:kern w:val="0"/>
          <w:sz w:val="18"/>
          <w:szCs w:val="18"/>
        </w:rPr>
        <w:t>[</w:t>
      </w:r>
      <w:r>
        <w:rPr>
          <w:rFonts w:hint="eastAsia"/>
          <w:kern w:val="0"/>
          <w:sz w:val="18"/>
          <w:szCs w:val="18"/>
        </w:rPr>
        <w:t>8</w:t>
      </w:r>
      <w:r>
        <w:rPr>
          <w:kern w:val="0"/>
          <w:sz w:val="18"/>
          <w:szCs w:val="18"/>
        </w:rPr>
        <w:t xml:space="preserve">] World Health Organization. Factors regulating the immune response: Report of WHO Scientific Group[R]. Geneva: WHO, 1970. </w:t>
      </w:r>
    </w:p>
    <w:p w14:paraId="3B827086" w14:textId="77777777" w:rsidR="007752AD" w:rsidRDefault="00000000">
      <w:pPr>
        <w:adjustRightInd w:val="0"/>
        <w:snapToGrid w:val="0"/>
        <w:spacing w:line="360" w:lineRule="auto"/>
        <w:rPr>
          <w:rFonts w:hint="eastAsia"/>
          <w:color w:val="FF0000"/>
          <w:sz w:val="18"/>
          <w:szCs w:val="18"/>
        </w:rPr>
      </w:pPr>
      <w:r>
        <w:rPr>
          <w:rStyle w:val="af9"/>
          <w:rFonts w:hAnsi="宋体"/>
          <w:b w:val="0"/>
          <w:bCs w:val="0"/>
          <w:color w:val="FF0000"/>
          <w:sz w:val="18"/>
          <w:szCs w:val="18"/>
        </w:rPr>
        <w:t>网络资源的</w:t>
      </w:r>
      <w:r>
        <w:rPr>
          <w:rFonts w:hAnsi="宋体"/>
          <w:color w:val="FF0000"/>
          <w:sz w:val="18"/>
          <w:szCs w:val="18"/>
        </w:rPr>
        <w:t>格式为：主要责任者</w:t>
      </w:r>
      <w:r>
        <w:rPr>
          <w:color w:val="FF0000"/>
          <w:sz w:val="18"/>
          <w:szCs w:val="18"/>
        </w:rPr>
        <w:t xml:space="preserve">. </w:t>
      </w:r>
      <w:r>
        <w:rPr>
          <w:rFonts w:hAnsi="宋体"/>
          <w:color w:val="FF0000"/>
          <w:sz w:val="18"/>
          <w:szCs w:val="18"/>
        </w:rPr>
        <w:t>题名[EB/OL]</w:t>
      </w:r>
      <w:r>
        <w:rPr>
          <w:rFonts w:hAnsi="宋体" w:hint="eastAsia"/>
          <w:color w:val="FF0000"/>
          <w:sz w:val="18"/>
          <w:szCs w:val="18"/>
        </w:rPr>
        <w:t>.（发布</w:t>
      </w:r>
      <w:r>
        <w:rPr>
          <w:rFonts w:hAnsi="宋体"/>
          <w:color w:val="FF0000"/>
          <w:sz w:val="18"/>
          <w:szCs w:val="18"/>
        </w:rPr>
        <w:t>日期</w:t>
      </w:r>
      <w:r>
        <w:rPr>
          <w:rFonts w:hAnsi="宋体" w:hint="eastAsia"/>
          <w:color w:val="FF0000"/>
          <w:sz w:val="18"/>
          <w:szCs w:val="18"/>
        </w:rPr>
        <w:t>）</w:t>
      </w:r>
      <w:r>
        <w:rPr>
          <w:color w:val="FF0000"/>
          <w:sz w:val="18"/>
          <w:szCs w:val="18"/>
        </w:rPr>
        <w:t>[</w:t>
      </w:r>
      <w:r>
        <w:rPr>
          <w:rFonts w:hAnsi="宋体"/>
          <w:color w:val="FF0000"/>
          <w:sz w:val="18"/>
          <w:szCs w:val="18"/>
        </w:rPr>
        <w:t>引用日期</w:t>
      </w:r>
      <w:r>
        <w:rPr>
          <w:color w:val="FF0000"/>
          <w:sz w:val="18"/>
          <w:szCs w:val="18"/>
        </w:rPr>
        <w:t>].</w:t>
      </w:r>
      <w:r>
        <w:rPr>
          <w:rFonts w:hint="eastAsia"/>
          <w:color w:val="FF0000"/>
          <w:sz w:val="18"/>
          <w:szCs w:val="18"/>
        </w:rPr>
        <w:t xml:space="preserve"> </w:t>
      </w:r>
      <w:r>
        <w:rPr>
          <w:rFonts w:hAnsi="宋体"/>
          <w:color w:val="FF0000"/>
          <w:sz w:val="18"/>
          <w:szCs w:val="18"/>
        </w:rPr>
        <w:t>获取和访问的路径网址</w:t>
      </w:r>
      <w:r>
        <w:rPr>
          <w:color w:val="FF0000"/>
          <w:sz w:val="18"/>
          <w:szCs w:val="18"/>
        </w:rPr>
        <w:t>.</w:t>
      </w:r>
    </w:p>
    <w:p w14:paraId="1623930F" w14:textId="77777777" w:rsidR="007752AD" w:rsidRDefault="00000000">
      <w:pPr>
        <w:adjustRightInd w:val="0"/>
        <w:snapToGrid w:val="0"/>
        <w:spacing w:line="360" w:lineRule="auto"/>
        <w:ind w:left="360" w:hangingChars="200" w:hanging="360"/>
        <w:jc w:val="left"/>
        <w:rPr>
          <w:rFonts w:hint="eastAsia"/>
          <w:color w:val="000000"/>
          <w:sz w:val="18"/>
          <w:szCs w:val="18"/>
        </w:rPr>
      </w:pPr>
      <w:r>
        <w:rPr>
          <w:color w:val="000000"/>
          <w:sz w:val="18"/>
          <w:szCs w:val="18"/>
        </w:rPr>
        <w:t>[</w:t>
      </w:r>
      <w:r>
        <w:rPr>
          <w:rFonts w:hint="eastAsia"/>
          <w:color w:val="000000"/>
          <w:sz w:val="18"/>
          <w:szCs w:val="18"/>
        </w:rPr>
        <w:t>10</w:t>
      </w:r>
      <w:r>
        <w:rPr>
          <w:color w:val="000000"/>
          <w:sz w:val="18"/>
          <w:szCs w:val="18"/>
        </w:rPr>
        <w:t>]</w:t>
      </w:r>
      <w:r>
        <w:rPr>
          <w:rFonts w:hint="eastAsia"/>
          <w:color w:val="000000"/>
          <w:sz w:val="18"/>
          <w:szCs w:val="18"/>
        </w:rPr>
        <w:t xml:space="preserve"> </w:t>
      </w:r>
      <w:r>
        <w:rPr>
          <w:color w:val="000000"/>
          <w:sz w:val="18"/>
          <w:szCs w:val="18"/>
        </w:rPr>
        <w:t xml:space="preserve">Pinter M. Toward more realistic </w:t>
      </w:r>
      <w:proofErr w:type="gramStart"/>
      <w:r>
        <w:rPr>
          <w:color w:val="000000"/>
          <w:sz w:val="18"/>
          <w:szCs w:val="18"/>
        </w:rPr>
        <w:t>pathfinding[</w:t>
      </w:r>
      <w:proofErr w:type="gramEnd"/>
      <w:r>
        <w:rPr>
          <w:color w:val="000000"/>
          <w:sz w:val="18"/>
          <w:szCs w:val="18"/>
        </w:rPr>
        <w:t xml:space="preserve">EB/OL]. </w:t>
      </w:r>
      <w:r>
        <w:rPr>
          <w:rFonts w:hint="eastAsia"/>
          <w:color w:val="000000"/>
          <w:sz w:val="18"/>
          <w:szCs w:val="18"/>
        </w:rPr>
        <w:t>(</w:t>
      </w:r>
      <w:r>
        <w:rPr>
          <w:color w:val="000000"/>
          <w:sz w:val="18"/>
          <w:szCs w:val="18"/>
        </w:rPr>
        <w:t>2001-03-</w:t>
      </w:r>
      <w:proofErr w:type="gramStart"/>
      <w:r>
        <w:rPr>
          <w:color w:val="000000"/>
          <w:sz w:val="18"/>
          <w:szCs w:val="18"/>
        </w:rPr>
        <w:t>16</w:t>
      </w:r>
      <w:r>
        <w:rPr>
          <w:rFonts w:hint="eastAsia"/>
          <w:color w:val="000000"/>
          <w:sz w:val="18"/>
          <w:szCs w:val="18"/>
        </w:rPr>
        <w:t>)</w:t>
      </w:r>
      <w:r>
        <w:rPr>
          <w:color w:val="000000"/>
          <w:sz w:val="18"/>
          <w:szCs w:val="18"/>
        </w:rPr>
        <w:t>[</w:t>
      </w:r>
      <w:proofErr w:type="gramEnd"/>
      <w:r>
        <w:rPr>
          <w:color w:val="000000"/>
          <w:sz w:val="18"/>
          <w:szCs w:val="18"/>
        </w:rPr>
        <w:t xml:space="preserve">2001-09-20]. </w:t>
      </w:r>
      <w:hyperlink r:id="rId15" w:history="1">
        <w:r>
          <w:rPr>
            <w:color w:val="000000"/>
            <w:sz w:val="18"/>
            <w:szCs w:val="18"/>
          </w:rPr>
          <w:t>http://www.gamasutra.com/</w:t>
        </w:r>
      </w:hyperlink>
      <w:r>
        <w:rPr>
          <w:rFonts w:hint="eastAsia"/>
          <w:color w:val="000000"/>
          <w:sz w:val="18"/>
          <w:szCs w:val="18"/>
        </w:rPr>
        <w:t xml:space="preserve"> </w:t>
      </w:r>
      <w:r>
        <w:rPr>
          <w:color w:val="000000"/>
          <w:sz w:val="18"/>
          <w:szCs w:val="18"/>
        </w:rPr>
        <w:t>view/ feature/3096/</w:t>
      </w:r>
      <w:proofErr w:type="spellStart"/>
      <w:r>
        <w:rPr>
          <w:color w:val="000000"/>
          <w:sz w:val="18"/>
          <w:szCs w:val="18"/>
        </w:rPr>
        <w:t>toward_more_realistic_pathfinding.php</w:t>
      </w:r>
      <w:proofErr w:type="spellEnd"/>
      <w:r>
        <w:rPr>
          <w:color w:val="000000"/>
          <w:sz w:val="18"/>
          <w:szCs w:val="18"/>
        </w:rPr>
        <w:t xml:space="preserve">. </w:t>
      </w:r>
    </w:p>
    <w:p w14:paraId="6DCD59C6" w14:textId="77777777" w:rsidR="007752AD" w:rsidRDefault="00000000">
      <w:pPr>
        <w:adjustRightInd w:val="0"/>
        <w:snapToGrid w:val="0"/>
        <w:rPr>
          <w:rFonts w:hint="eastAsia"/>
          <w:color w:val="FF0000"/>
          <w:sz w:val="18"/>
          <w:szCs w:val="18"/>
        </w:rPr>
      </w:pPr>
      <w:r>
        <w:rPr>
          <w:rFonts w:hAnsi="宋体"/>
          <w:color w:val="FF0000"/>
          <w:sz w:val="18"/>
          <w:szCs w:val="18"/>
        </w:rPr>
        <w:t>其他文献</w:t>
      </w:r>
      <w:r>
        <w:rPr>
          <w:rFonts w:hAnsi="宋体" w:hint="eastAsia"/>
          <w:color w:val="FF0000"/>
          <w:sz w:val="18"/>
          <w:szCs w:val="18"/>
        </w:rPr>
        <w:t>的标识</w:t>
      </w:r>
      <w:r>
        <w:rPr>
          <w:rFonts w:hint="eastAsia"/>
          <w:color w:val="FF0000"/>
          <w:sz w:val="18"/>
          <w:szCs w:val="18"/>
        </w:rPr>
        <w:t>：</w:t>
      </w:r>
      <w:r>
        <w:rPr>
          <w:color w:val="FF0000"/>
          <w:sz w:val="18"/>
          <w:szCs w:val="18"/>
        </w:rPr>
        <w:t>[N]</w:t>
      </w:r>
      <w:proofErr w:type="gramStart"/>
      <w:r>
        <w:rPr>
          <w:color w:val="FF0000"/>
          <w:sz w:val="18"/>
          <w:szCs w:val="18"/>
        </w:rPr>
        <w:t>—</w:t>
      </w:r>
      <w:r>
        <w:rPr>
          <w:rFonts w:hAnsi="宋体"/>
          <w:color w:val="FF0000"/>
          <w:sz w:val="18"/>
          <w:szCs w:val="18"/>
        </w:rPr>
        <w:t>报纸</w:t>
      </w:r>
      <w:proofErr w:type="gramEnd"/>
      <w:r>
        <w:rPr>
          <w:rFonts w:hAnsi="宋体"/>
          <w:color w:val="FF0000"/>
          <w:sz w:val="18"/>
          <w:szCs w:val="18"/>
        </w:rPr>
        <w:t>文章；</w:t>
      </w:r>
      <w:r>
        <w:rPr>
          <w:color w:val="FF0000"/>
          <w:sz w:val="18"/>
          <w:szCs w:val="18"/>
        </w:rPr>
        <w:t>[S]—</w:t>
      </w:r>
      <w:r>
        <w:rPr>
          <w:rFonts w:hAnsi="宋体"/>
          <w:color w:val="FF0000"/>
          <w:sz w:val="18"/>
          <w:szCs w:val="18"/>
        </w:rPr>
        <w:t>标准；</w:t>
      </w:r>
      <w:r>
        <w:rPr>
          <w:color w:val="FF0000"/>
          <w:sz w:val="18"/>
          <w:szCs w:val="18"/>
        </w:rPr>
        <w:t>[P]—</w:t>
      </w:r>
      <w:r>
        <w:rPr>
          <w:rFonts w:hAnsi="宋体"/>
          <w:color w:val="FF0000"/>
          <w:sz w:val="18"/>
          <w:szCs w:val="18"/>
        </w:rPr>
        <w:t>专利；</w:t>
      </w:r>
      <w:r>
        <w:rPr>
          <w:color w:val="FF0000"/>
          <w:sz w:val="18"/>
          <w:szCs w:val="18"/>
        </w:rPr>
        <w:t>[A]—</w:t>
      </w:r>
      <w:r>
        <w:rPr>
          <w:rFonts w:hAnsi="宋体"/>
          <w:color w:val="FF0000"/>
          <w:sz w:val="18"/>
          <w:szCs w:val="18"/>
        </w:rPr>
        <w:t>专著、论文集中的析出文献；</w:t>
      </w:r>
      <w:r>
        <w:rPr>
          <w:color w:val="FF0000"/>
          <w:sz w:val="18"/>
          <w:szCs w:val="18"/>
        </w:rPr>
        <w:t>[Z]</w:t>
      </w:r>
      <w:proofErr w:type="gramStart"/>
      <w:r>
        <w:rPr>
          <w:color w:val="FF0000"/>
          <w:sz w:val="18"/>
          <w:szCs w:val="18"/>
        </w:rPr>
        <w:t>—</w:t>
      </w:r>
      <w:r>
        <w:rPr>
          <w:rFonts w:hAnsi="宋体"/>
          <w:color w:val="FF0000"/>
          <w:sz w:val="18"/>
          <w:szCs w:val="18"/>
        </w:rPr>
        <w:t>其他</w:t>
      </w:r>
      <w:proofErr w:type="gramEnd"/>
      <w:r>
        <w:rPr>
          <w:rFonts w:hAnsi="宋体"/>
          <w:color w:val="FF0000"/>
          <w:sz w:val="18"/>
          <w:szCs w:val="18"/>
        </w:rPr>
        <w:t>未说明的文献类型</w:t>
      </w:r>
    </w:p>
    <w:p w14:paraId="79F9EB06" w14:textId="77777777" w:rsidR="007752AD" w:rsidRDefault="007752AD">
      <w:pPr>
        <w:adjustRightInd w:val="0"/>
        <w:snapToGrid w:val="0"/>
        <w:rPr>
          <w:rFonts w:hint="eastAsia"/>
          <w:color w:val="FF0000"/>
          <w:sz w:val="18"/>
          <w:szCs w:val="18"/>
        </w:rPr>
      </w:pPr>
    </w:p>
    <w:sectPr w:rsidR="007752AD">
      <w:headerReference w:type="even" r:id="rId16"/>
      <w:pgSz w:w="11907" w:h="16216"/>
      <w:pgMar w:top="1440" w:right="1797" w:bottom="1440" w:left="1797" w:header="851" w:footer="567" w:gutter="0"/>
      <w:pgNumType w:fmt="numberInDash"/>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CC5C2" w14:textId="77777777" w:rsidR="008A2A66" w:rsidRDefault="008A2A66">
      <w:pPr>
        <w:rPr>
          <w:rFonts w:hint="eastAsia"/>
        </w:rPr>
      </w:pPr>
      <w:r>
        <w:separator/>
      </w:r>
    </w:p>
  </w:endnote>
  <w:endnote w:type="continuationSeparator" w:id="0">
    <w:p w14:paraId="6B621EDF" w14:textId="77777777" w:rsidR="008A2A66" w:rsidRDefault="008A2A6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小标宋">
    <w:altName w:val="微软雅黑"/>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dobeSongStd-Light">
    <w:altName w:val="方正舒体"/>
    <w:charset w:val="86"/>
    <w:family w:val="auto"/>
    <w:pitch w:val="default"/>
    <w:sig w:usb0="00000000" w:usb1="0000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231C1" w14:textId="77777777" w:rsidR="008A2A66" w:rsidRDefault="008A2A66">
      <w:pPr>
        <w:rPr>
          <w:rFonts w:hint="eastAsia"/>
        </w:rPr>
      </w:pPr>
      <w:r>
        <w:separator/>
      </w:r>
    </w:p>
  </w:footnote>
  <w:footnote w:type="continuationSeparator" w:id="0">
    <w:p w14:paraId="148890A4" w14:textId="77777777" w:rsidR="008A2A66" w:rsidRDefault="008A2A66">
      <w:pPr>
        <w:rPr>
          <w:rFonts w:hint="eastAsia"/>
        </w:rPr>
      </w:pPr>
      <w:r>
        <w:continuationSeparator/>
      </w:r>
    </w:p>
  </w:footnote>
  <w:footnote w:id="1">
    <w:p w14:paraId="22AF7FE1" w14:textId="77777777" w:rsidR="007752AD" w:rsidRDefault="00000000">
      <w:pPr>
        <w:pStyle w:val="af2"/>
        <w:ind w:left="770" w:hangingChars="500" w:hanging="770"/>
        <w:jc w:val="both"/>
        <w:rPr>
          <w:szCs w:val="15"/>
        </w:rPr>
      </w:pPr>
      <w:r>
        <w:rPr>
          <w:szCs w:val="15"/>
        </w:rPr>
        <w:t>收稿日期：</w:t>
      </w:r>
      <w:r>
        <w:rPr>
          <w:szCs w:val="15"/>
        </w:rPr>
        <w:t>2012-10-31</w:t>
      </w:r>
      <w:r>
        <w:rPr>
          <w:szCs w:val="15"/>
        </w:rPr>
        <w:t>；</w:t>
      </w:r>
      <w:proofErr w:type="gramStart"/>
      <w:r>
        <w:rPr>
          <w:szCs w:val="15"/>
        </w:rPr>
        <w:t>修回日期</w:t>
      </w:r>
      <w:proofErr w:type="gramEnd"/>
      <w:r>
        <w:rPr>
          <w:szCs w:val="15"/>
        </w:rPr>
        <w:t>：</w:t>
      </w:r>
      <w:r>
        <w:rPr>
          <w:szCs w:val="15"/>
        </w:rPr>
        <w:t>2012-11-19</w:t>
      </w:r>
    </w:p>
    <w:p w14:paraId="41C998C7" w14:textId="77777777" w:rsidR="007752AD" w:rsidRDefault="00000000">
      <w:pPr>
        <w:pStyle w:val="af2"/>
        <w:ind w:left="770" w:hangingChars="500" w:hanging="770"/>
        <w:jc w:val="both"/>
        <w:rPr>
          <w:szCs w:val="15"/>
        </w:rPr>
      </w:pPr>
      <w:r>
        <w:rPr>
          <w:szCs w:val="15"/>
        </w:rPr>
        <w:t>基金项目：北京市科技计划项目</w:t>
      </w:r>
      <w:r>
        <w:rPr>
          <w:szCs w:val="15"/>
        </w:rPr>
        <w:t xml:space="preserve">(Z111100067311053) </w:t>
      </w:r>
    </w:p>
    <w:p w14:paraId="6DF6F36A" w14:textId="77777777" w:rsidR="007752AD" w:rsidRDefault="00000000">
      <w:pPr>
        <w:pStyle w:val="af2"/>
        <w:ind w:left="770" w:hangingChars="500" w:hanging="770"/>
        <w:jc w:val="both"/>
        <w:rPr>
          <w:rStyle w:val="afb"/>
          <w:szCs w:val="15"/>
        </w:rPr>
      </w:pPr>
      <w:r>
        <w:rPr>
          <w:szCs w:val="15"/>
        </w:rPr>
        <w:t>作者简介：</w:t>
      </w:r>
      <w:proofErr w:type="gramStart"/>
      <w:r>
        <w:rPr>
          <w:szCs w:val="15"/>
        </w:rPr>
        <w:t>蔡</w:t>
      </w:r>
      <w:proofErr w:type="gramEnd"/>
      <w:r>
        <w:rPr>
          <w:rStyle w:val="afb"/>
          <w:szCs w:val="15"/>
        </w:rPr>
        <w:t>**</w:t>
      </w:r>
      <w:r>
        <w:rPr>
          <w:szCs w:val="15"/>
        </w:rPr>
        <w:t>，博士研究生，研究方向为肿瘤物理治疗，电子信箱：</w:t>
      </w:r>
      <w:r>
        <w:fldChar w:fldCharType="begin"/>
      </w:r>
      <w:r>
        <w:instrText xml:space="preserve"> HYPERLINK "mailto:caidy08@mails.tsinghua.edu.cn" </w:instrText>
      </w:r>
      <w:r>
        <w:fldChar w:fldCharType="separate"/>
      </w:r>
      <w:r>
        <w:rPr>
          <w:rStyle w:val="afb"/>
          <w:szCs w:val="15"/>
        </w:rPr>
        <w:t>**</w:t>
      </w:r>
      <w:r>
        <w:rPr>
          <w:szCs w:val="15"/>
        </w:rPr>
        <w:t>@mails.tsinghua.edu.cn</w:t>
      </w:r>
      <w:r>
        <w:rPr>
          <w:szCs w:val="15"/>
        </w:rPr>
        <w:fldChar w:fldCharType="end"/>
      </w:r>
      <w:r>
        <w:rPr>
          <w:szCs w:val="15"/>
        </w:rPr>
        <w:t>；唐</w:t>
      </w:r>
      <w:r>
        <w:rPr>
          <w:rStyle w:val="afb"/>
          <w:szCs w:val="15"/>
        </w:rPr>
        <w:t>**</w:t>
      </w:r>
      <w:r>
        <w:rPr>
          <w:szCs w:val="15"/>
        </w:rPr>
        <w:t>(</w:t>
      </w:r>
      <w:r>
        <w:rPr>
          <w:szCs w:val="15"/>
        </w:rPr>
        <w:t>通信作者</w:t>
      </w:r>
      <w:r>
        <w:rPr>
          <w:szCs w:val="15"/>
        </w:rPr>
        <w:t>)</w:t>
      </w:r>
      <w:r>
        <w:rPr>
          <w:szCs w:val="15"/>
        </w:rPr>
        <w:t>，研究员，研究方向为医疗新技术，电子信箱：</w:t>
      </w:r>
      <w:r>
        <w:rPr>
          <w:rStyle w:val="afb"/>
          <w:szCs w:val="15"/>
        </w:rPr>
        <w:t>**</w:t>
      </w:r>
      <w:r>
        <w:rPr>
          <w:szCs w:val="15"/>
        </w:rPr>
        <w:t>@mail.tsinghua.edu.cn</w:t>
      </w:r>
    </w:p>
    <w:p w14:paraId="35E523A4" w14:textId="77777777" w:rsidR="007752AD" w:rsidRDefault="00000000">
      <w:pPr>
        <w:pStyle w:val="af2"/>
        <w:ind w:left="847" w:hangingChars="550" w:hanging="847"/>
        <w:jc w:val="both"/>
        <w:rPr>
          <w:rStyle w:val="afb"/>
          <w:szCs w:val="15"/>
        </w:rPr>
      </w:pPr>
      <w:r>
        <w:rPr>
          <w:rStyle w:val="afb"/>
          <w:szCs w:val="15"/>
        </w:rPr>
        <w:t>引用格式：</w:t>
      </w:r>
      <w:proofErr w:type="gramStart"/>
      <w:r>
        <w:rPr>
          <w:rStyle w:val="afb"/>
          <w:szCs w:val="15"/>
        </w:rPr>
        <w:t>蔡</w:t>
      </w:r>
      <w:proofErr w:type="gramEnd"/>
      <w:r>
        <w:rPr>
          <w:rStyle w:val="afb"/>
          <w:szCs w:val="15"/>
        </w:rPr>
        <w:t>**,</w:t>
      </w:r>
      <w:r>
        <w:rPr>
          <w:rStyle w:val="afb"/>
          <w:rFonts w:hint="eastAsia"/>
          <w:szCs w:val="15"/>
        </w:rPr>
        <w:t xml:space="preserve"> </w:t>
      </w:r>
      <w:r>
        <w:rPr>
          <w:rStyle w:val="afb"/>
          <w:szCs w:val="15"/>
        </w:rPr>
        <w:t>李</w:t>
      </w:r>
      <w:r>
        <w:rPr>
          <w:rStyle w:val="afb"/>
          <w:szCs w:val="15"/>
        </w:rPr>
        <w:t>*,</w:t>
      </w:r>
      <w:r>
        <w:rPr>
          <w:rStyle w:val="afb"/>
          <w:rFonts w:hint="eastAsia"/>
          <w:szCs w:val="15"/>
        </w:rPr>
        <w:t xml:space="preserve"> </w:t>
      </w:r>
      <w:r>
        <w:rPr>
          <w:rStyle w:val="afb"/>
          <w:szCs w:val="15"/>
        </w:rPr>
        <w:t>孔</w:t>
      </w:r>
      <w:r>
        <w:rPr>
          <w:rStyle w:val="afb"/>
          <w:szCs w:val="15"/>
        </w:rPr>
        <w:t>*,</w:t>
      </w:r>
      <w:r>
        <w:rPr>
          <w:rStyle w:val="afb"/>
          <w:rFonts w:hint="eastAsia"/>
          <w:szCs w:val="15"/>
        </w:rPr>
        <w:t xml:space="preserve"> </w:t>
      </w:r>
      <w:r>
        <w:rPr>
          <w:rStyle w:val="afb"/>
          <w:szCs w:val="15"/>
        </w:rPr>
        <w:t>等</w:t>
      </w:r>
      <w:r>
        <w:rPr>
          <w:rStyle w:val="afb"/>
          <w:szCs w:val="15"/>
        </w:rPr>
        <w:t>.</w:t>
      </w:r>
      <w:r>
        <w:rPr>
          <w:rStyle w:val="afb"/>
          <w:rFonts w:hint="eastAsia"/>
          <w:szCs w:val="15"/>
        </w:rPr>
        <w:t xml:space="preserve"> </w:t>
      </w:r>
      <w:r>
        <w:rPr>
          <w:rStyle w:val="afb"/>
          <w:szCs w:val="15"/>
        </w:rPr>
        <w:t>磁感应热疗联合</w:t>
      </w:r>
      <w:r>
        <w:rPr>
          <w:rStyle w:val="afb"/>
          <w:szCs w:val="15"/>
        </w:rPr>
        <w:t>125I</w:t>
      </w:r>
      <w:proofErr w:type="gramStart"/>
      <w:r>
        <w:rPr>
          <w:rStyle w:val="afb"/>
          <w:szCs w:val="15"/>
        </w:rPr>
        <w:t>籽源近距离</w:t>
      </w:r>
      <w:proofErr w:type="gramEnd"/>
      <w:r>
        <w:rPr>
          <w:rStyle w:val="afb"/>
          <w:szCs w:val="15"/>
        </w:rPr>
        <w:t>放疗的可行性</w:t>
      </w:r>
      <w:r>
        <w:rPr>
          <w:rStyle w:val="afb"/>
          <w:szCs w:val="15"/>
        </w:rPr>
        <w:t>[J].</w:t>
      </w:r>
      <w:r>
        <w:rPr>
          <w:rStyle w:val="afb"/>
          <w:rFonts w:hint="eastAsia"/>
          <w:szCs w:val="15"/>
        </w:rPr>
        <w:t xml:space="preserve"> </w:t>
      </w:r>
      <w:r>
        <w:rPr>
          <w:rStyle w:val="afb"/>
          <w:szCs w:val="15"/>
        </w:rPr>
        <w:t>科技导报</w:t>
      </w:r>
      <w:r>
        <w:rPr>
          <w:rStyle w:val="afb"/>
          <w:szCs w:val="15"/>
        </w:rPr>
        <w:t>, 2013, 31(*</w:t>
      </w:r>
      <w:r>
        <w:rPr>
          <w:rStyle w:val="afb"/>
          <w:rFonts w:hint="eastAsia"/>
          <w:szCs w:val="15"/>
        </w:rPr>
        <w:t>*</w:t>
      </w:r>
      <w:r>
        <w:rPr>
          <w:rStyle w:val="afb"/>
          <w:szCs w:val="15"/>
        </w:rPr>
        <w:t>): *</w:t>
      </w:r>
      <w:r>
        <w:rPr>
          <w:rStyle w:val="afb"/>
          <w:rFonts w:hint="eastAsia"/>
          <w:szCs w:val="15"/>
        </w:rPr>
        <w:t>-</w:t>
      </w:r>
      <w:r>
        <w:rPr>
          <w:rStyle w:val="afb"/>
          <w:szCs w:val="15"/>
        </w:rPr>
        <w:t>*;</w:t>
      </w:r>
      <w:r>
        <w:rPr>
          <w:rStyle w:val="afb"/>
          <w:rFonts w:hint="eastAsia"/>
          <w:szCs w:val="15"/>
        </w:rPr>
        <w:t xml:space="preserve"> </w:t>
      </w:r>
      <w:proofErr w:type="spellStart"/>
      <w:r>
        <w:rPr>
          <w:rStyle w:val="afb"/>
          <w:szCs w:val="15"/>
        </w:rPr>
        <w:t>doi</w:t>
      </w:r>
      <w:proofErr w:type="spellEnd"/>
      <w:r>
        <w:rPr>
          <w:rStyle w:val="afb"/>
          <w:rFonts w:hint="eastAsia"/>
          <w:szCs w:val="15"/>
        </w:rPr>
        <w:t>：</w:t>
      </w:r>
      <w:r>
        <w:rPr>
          <w:rStyle w:val="afb"/>
          <w:szCs w:val="15"/>
        </w:rPr>
        <w:t>10.3981/j.issn.1000</w:t>
      </w:r>
      <w:r>
        <w:rPr>
          <w:rStyle w:val="afb"/>
          <w:rFonts w:hint="eastAsia"/>
          <w:szCs w:val="15"/>
        </w:rPr>
        <w:t>-</w:t>
      </w:r>
      <w:r>
        <w:rPr>
          <w:rStyle w:val="afb"/>
          <w:szCs w:val="15"/>
        </w:rPr>
        <w:t>7857.2012.</w:t>
      </w:r>
      <w:proofErr w:type="gramStart"/>
      <w:r>
        <w:rPr>
          <w:rStyle w:val="afb"/>
          <w:szCs w:val="15"/>
        </w:rPr>
        <w:t>10.*</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48703" w14:textId="77777777" w:rsidR="007752AD" w:rsidRDefault="007752AD">
    <w:pP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ADF940E"/>
    <w:multiLevelType w:val="singleLevel"/>
    <w:tmpl w:val="AADF940E"/>
    <w:lvl w:ilvl="0">
      <w:start w:val="1"/>
      <w:numFmt w:val="decimal"/>
      <w:suff w:val="space"/>
      <w:lvlText w:val="%1."/>
      <w:lvlJc w:val="left"/>
    </w:lvl>
  </w:abstractNum>
  <w:abstractNum w:abstractNumId="1" w15:restartNumberingAfterBreak="0">
    <w:nsid w:val="057B5E98"/>
    <w:multiLevelType w:val="multilevel"/>
    <w:tmpl w:val="057B5E9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735248744">
    <w:abstractNumId w:val="0"/>
  </w:num>
  <w:num w:numId="2" w16cid:durableId="2041541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66"/>
    <w:rsid w:val="9647552F"/>
    <w:rsid w:val="9B7F4561"/>
    <w:rsid w:val="9FDF6AD2"/>
    <w:rsid w:val="A7DF921E"/>
    <w:rsid w:val="AF3B9079"/>
    <w:rsid w:val="AFFFB4D8"/>
    <w:rsid w:val="B1352DE3"/>
    <w:rsid w:val="B7533F1F"/>
    <w:rsid w:val="B9F380F3"/>
    <w:rsid w:val="BA6F84B1"/>
    <w:rsid w:val="BABF32D5"/>
    <w:rsid w:val="BB6EC4E8"/>
    <w:rsid w:val="BDE3EF3F"/>
    <w:rsid w:val="BDED1A43"/>
    <w:rsid w:val="BED3B077"/>
    <w:rsid w:val="BF7EE7D7"/>
    <w:rsid w:val="BFDF1177"/>
    <w:rsid w:val="BFFF8C42"/>
    <w:rsid w:val="CEFFA79E"/>
    <w:rsid w:val="CFDEEAF4"/>
    <w:rsid w:val="CFFF66A8"/>
    <w:rsid w:val="D6AFAC53"/>
    <w:rsid w:val="DAFDEAFE"/>
    <w:rsid w:val="DBFB411D"/>
    <w:rsid w:val="DBFD0E24"/>
    <w:rsid w:val="DD6EC95F"/>
    <w:rsid w:val="DE3E8763"/>
    <w:rsid w:val="DF7546DB"/>
    <w:rsid w:val="DFFF10C5"/>
    <w:rsid w:val="EE7F88DC"/>
    <w:rsid w:val="EF6F10D7"/>
    <w:rsid w:val="EF9FBF56"/>
    <w:rsid w:val="F1FC5DDB"/>
    <w:rsid w:val="F3FF6CFE"/>
    <w:rsid w:val="F5FF2097"/>
    <w:rsid w:val="F8F6009E"/>
    <w:rsid w:val="F9E793CC"/>
    <w:rsid w:val="F9F7A153"/>
    <w:rsid w:val="F9FF083D"/>
    <w:rsid w:val="FA76C54A"/>
    <w:rsid w:val="FABF5E3E"/>
    <w:rsid w:val="FB978082"/>
    <w:rsid w:val="FBFD3DBF"/>
    <w:rsid w:val="FD5F4F12"/>
    <w:rsid w:val="FEFA73F3"/>
    <w:rsid w:val="FFDB947F"/>
    <w:rsid w:val="FFDE159A"/>
    <w:rsid w:val="FFDEA784"/>
    <w:rsid w:val="FFF92DBF"/>
    <w:rsid w:val="FFFD951D"/>
    <w:rsid w:val="FFFF9C0D"/>
    <w:rsid w:val="000109B7"/>
    <w:rsid w:val="00013D89"/>
    <w:rsid w:val="000174AF"/>
    <w:rsid w:val="000636A3"/>
    <w:rsid w:val="00064A8F"/>
    <w:rsid w:val="000665E4"/>
    <w:rsid w:val="000734C3"/>
    <w:rsid w:val="00075D7E"/>
    <w:rsid w:val="000804E0"/>
    <w:rsid w:val="00080855"/>
    <w:rsid w:val="00086F2C"/>
    <w:rsid w:val="000A218A"/>
    <w:rsid w:val="000C54DF"/>
    <w:rsid w:val="000C5A50"/>
    <w:rsid w:val="000C7393"/>
    <w:rsid w:val="000E2071"/>
    <w:rsid w:val="000E2D02"/>
    <w:rsid w:val="000F0574"/>
    <w:rsid w:val="000F49B5"/>
    <w:rsid w:val="000F6BA3"/>
    <w:rsid w:val="00100A3F"/>
    <w:rsid w:val="001368A8"/>
    <w:rsid w:val="001431D0"/>
    <w:rsid w:val="00151340"/>
    <w:rsid w:val="00151835"/>
    <w:rsid w:val="00162448"/>
    <w:rsid w:val="001703ED"/>
    <w:rsid w:val="00170B2F"/>
    <w:rsid w:val="001723EE"/>
    <w:rsid w:val="00172D3B"/>
    <w:rsid w:val="001745EA"/>
    <w:rsid w:val="00190F8D"/>
    <w:rsid w:val="00193EE8"/>
    <w:rsid w:val="00197E95"/>
    <w:rsid w:val="001A102E"/>
    <w:rsid w:val="001A7E99"/>
    <w:rsid w:val="001B38C1"/>
    <w:rsid w:val="001C7571"/>
    <w:rsid w:val="001D2E9F"/>
    <w:rsid w:val="001F3887"/>
    <w:rsid w:val="002047C8"/>
    <w:rsid w:val="00206219"/>
    <w:rsid w:val="00213F0C"/>
    <w:rsid w:val="00214C86"/>
    <w:rsid w:val="00223F4F"/>
    <w:rsid w:val="002316F6"/>
    <w:rsid w:val="00237B5D"/>
    <w:rsid w:val="002558C2"/>
    <w:rsid w:val="002748AB"/>
    <w:rsid w:val="00292737"/>
    <w:rsid w:val="00293A3F"/>
    <w:rsid w:val="002975D0"/>
    <w:rsid w:val="002A3C11"/>
    <w:rsid w:val="002A5F67"/>
    <w:rsid w:val="002B0DEE"/>
    <w:rsid w:val="002B5556"/>
    <w:rsid w:val="002F2FDD"/>
    <w:rsid w:val="00300B53"/>
    <w:rsid w:val="00304A34"/>
    <w:rsid w:val="003069C9"/>
    <w:rsid w:val="00306A19"/>
    <w:rsid w:val="003072F0"/>
    <w:rsid w:val="0031263C"/>
    <w:rsid w:val="00314EF9"/>
    <w:rsid w:val="00327781"/>
    <w:rsid w:val="00340100"/>
    <w:rsid w:val="003468D2"/>
    <w:rsid w:val="00356A89"/>
    <w:rsid w:val="0037176B"/>
    <w:rsid w:val="003717F2"/>
    <w:rsid w:val="0037766F"/>
    <w:rsid w:val="0038341B"/>
    <w:rsid w:val="0039597C"/>
    <w:rsid w:val="00397EF4"/>
    <w:rsid w:val="003A228A"/>
    <w:rsid w:val="003B0AE3"/>
    <w:rsid w:val="003B3C85"/>
    <w:rsid w:val="003B4B84"/>
    <w:rsid w:val="003E273F"/>
    <w:rsid w:val="003F4C8D"/>
    <w:rsid w:val="00402661"/>
    <w:rsid w:val="00410ED7"/>
    <w:rsid w:val="00430B98"/>
    <w:rsid w:val="004420C7"/>
    <w:rsid w:val="004628BF"/>
    <w:rsid w:val="00464BED"/>
    <w:rsid w:val="0047169E"/>
    <w:rsid w:val="004744A3"/>
    <w:rsid w:val="0049000C"/>
    <w:rsid w:val="00494EDF"/>
    <w:rsid w:val="004B3F42"/>
    <w:rsid w:val="004B3F53"/>
    <w:rsid w:val="004D2FE0"/>
    <w:rsid w:val="004D7087"/>
    <w:rsid w:val="004F538A"/>
    <w:rsid w:val="005248B5"/>
    <w:rsid w:val="00526520"/>
    <w:rsid w:val="00527D29"/>
    <w:rsid w:val="00531CA4"/>
    <w:rsid w:val="00535F0F"/>
    <w:rsid w:val="00562AE1"/>
    <w:rsid w:val="00566F28"/>
    <w:rsid w:val="005674ED"/>
    <w:rsid w:val="00575B38"/>
    <w:rsid w:val="005935FC"/>
    <w:rsid w:val="005970AB"/>
    <w:rsid w:val="005A5D2B"/>
    <w:rsid w:val="005A7E0F"/>
    <w:rsid w:val="005B2163"/>
    <w:rsid w:val="005B455A"/>
    <w:rsid w:val="005C5464"/>
    <w:rsid w:val="005D5399"/>
    <w:rsid w:val="005F7C80"/>
    <w:rsid w:val="006028C0"/>
    <w:rsid w:val="00606B90"/>
    <w:rsid w:val="00611AA0"/>
    <w:rsid w:val="0062251C"/>
    <w:rsid w:val="00624F79"/>
    <w:rsid w:val="0063153F"/>
    <w:rsid w:val="00633309"/>
    <w:rsid w:val="00641BDE"/>
    <w:rsid w:val="00646609"/>
    <w:rsid w:val="00653DF6"/>
    <w:rsid w:val="00655E60"/>
    <w:rsid w:val="00662216"/>
    <w:rsid w:val="00664D34"/>
    <w:rsid w:val="00665603"/>
    <w:rsid w:val="0067190E"/>
    <w:rsid w:val="00671962"/>
    <w:rsid w:val="00673A5E"/>
    <w:rsid w:val="00676531"/>
    <w:rsid w:val="00676B8B"/>
    <w:rsid w:val="00685969"/>
    <w:rsid w:val="006A796F"/>
    <w:rsid w:val="006B02D3"/>
    <w:rsid w:val="006C2602"/>
    <w:rsid w:val="006C2609"/>
    <w:rsid w:val="006D3403"/>
    <w:rsid w:val="006E1E53"/>
    <w:rsid w:val="006F0A71"/>
    <w:rsid w:val="006F283B"/>
    <w:rsid w:val="006F6B2A"/>
    <w:rsid w:val="00720CFA"/>
    <w:rsid w:val="007500A5"/>
    <w:rsid w:val="007525D1"/>
    <w:rsid w:val="007660F4"/>
    <w:rsid w:val="007752AD"/>
    <w:rsid w:val="007843C5"/>
    <w:rsid w:val="0078666C"/>
    <w:rsid w:val="00786FC6"/>
    <w:rsid w:val="00793C41"/>
    <w:rsid w:val="00796D5E"/>
    <w:rsid w:val="007A07A4"/>
    <w:rsid w:val="007A48A6"/>
    <w:rsid w:val="007B4566"/>
    <w:rsid w:val="007B4E4D"/>
    <w:rsid w:val="007D18CA"/>
    <w:rsid w:val="007D6960"/>
    <w:rsid w:val="007E2BE2"/>
    <w:rsid w:val="007E627F"/>
    <w:rsid w:val="008062C0"/>
    <w:rsid w:val="008210AE"/>
    <w:rsid w:val="00853200"/>
    <w:rsid w:val="00877352"/>
    <w:rsid w:val="00883CFC"/>
    <w:rsid w:val="00891C2A"/>
    <w:rsid w:val="008A071B"/>
    <w:rsid w:val="008A2A66"/>
    <w:rsid w:val="008C360D"/>
    <w:rsid w:val="008C4765"/>
    <w:rsid w:val="008C5DAB"/>
    <w:rsid w:val="008F3DB8"/>
    <w:rsid w:val="00903207"/>
    <w:rsid w:val="009136CB"/>
    <w:rsid w:val="00914098"/>
    <w:rsid w:val="009347E5"/>
    <w:rsid w:val="009372F9"/>
    <w:rsid w:val="00940271"/>
    <w:rsid w:val="00945CC1"/>
    <w:rsid w:val="00952C19"/>
    <w:rsid w:val="009554EA"/>
    <w:rsid w:val="009613B1"/>
    <w:rsid w:val="00961EE3"/>
    <w:rsid w:val="00961EEB"/>
    <w:rsid w:val="00964F63"/>
    <w:rsid w:val="0097117E"/>
    <w:rsid w:val="00974A1E"/>
    <w:rsid w:val="009858DB"/>
    <w:rsid w:val="00992A9E"/>
    <w:rsid w:val="00992AE5"/>
    <w:rsid w:val="00992EB1"/>
    <w:rsid w:val="009932FD"/>
    <w:rsid w:val="00996D30"/>
    <w:rsid w:val="009A62BD"/>
    <w:rsid w:val="009C2CF1"/>
    <w:rsid w:val="009C4FAB"/>
    <w:rsid w:val="009D7FF9"/>
    <w:rsid w:val="009E6776"/>
    <w:rsid w:val="00A00127"/>
    <w:rsid w:val="00A00197"/>
    <w:rsid w:val="00A04FDC"/>
    <w:rsid w:val="00A1310A"/>
    <w:rsid w:val="00A42276"/>
    <w:rsid w:val="00A450A8"/>
    <w:rsid w:val="00A62BC6"/>
    <w:rsid w:val="00A663BA"/>
    <w:rsid w:val="00A71AE2"/>
    <w:rsid w:val="00A724C2"/>
    <w:rsid w:val="00A747D9"/>
    <w:rsid w:val="00A91158"/>
    <w:rsid w:val="00A9481E"/>
    <w:rsid w:val="00A95090"/>
    <w:rsid w:val="00AA1E6A"/>
    <w:rsid w:val="00AA7764"/>
    <w:rsid w:val="00AB2905"/>
    <w:rsid w:val="00AD5518"/>
    <w:rsid w:val="00AE19B0"/>
    <w:rsid w:val="00AE2B18"/>
    <w:rsid w:val="00AE3B32"/>
    <w:rsid w:val="00AE5932"/>
    <w:rsid w:val="00AE7E13"/>
    <w:rsid w:val="00B005F7"/>
    <w:rsid w:val="00B03632"/>
    <w:rsid w:val="00B041DC"/>
    <w:rsid w:val="00B05E62"/>
    <w:rsid w:val="00B11A33"/>
    <w:rsid w:val="00B12F20"/>
    <w:rsid w:val="00B15451"/>
    <w:rsid w:val="00B21C8D"/>
    <w:rsid w:val="00B21FDC"/>
    <w:rsid w:val="00B2638A"/>
    <w:rsid w:val="00B302C2"/>
    <w:rsid w:val="00B34FF8"/>
    <w:rsid w:val="00B37105"/>
    <w:rsid w:val="00B524BB"/>
    <w:rsid w:val="00B553C7"/>
    <w:rsid w:val="00B56188"/>
    <w:rsid w:val="00B64D7D"/>
    <w:rsid w:val="00B70588"/>
    <w:rsid w:val="00B71121"/>
    <w:rsid w:val="00B82AB1"/>
    <w:rsid w:val="00B913B4"/>
    <w:rsid w:val="00B93698"/>
    <w:rsid w:val="00BA100A"/>
    <w:rsid w:val="00BA2FE8"/>
    <w:rsid w:val="00BA4034"/>
    <w:rsid w:val="00BB2F0D"/>
    <w:rsid w:val="00BB450B"/>
    <w:rsid w:val="00BB57AB"/>
    <w:rsid w:val="00BD1022"/>
    <w:rsid w:val="00BD2C0B"/>
    <w:rsid w:val="00BD5C51"/>
    <w:rsid w:val="00BD6F3D"/>
    <w:rsid w:val="00BE4C72"/>
    <w:rsid w:val="00C06FF8"/>
    <w:rsid w:val="00C101A0"/>
    <w:rsid w:val="00C10A21"/>
    <w:rsid w:val="00C17EB5"/>
    <w:rsid w:val="00C61429"/>
    <w:rsid w:val="00C61EF9"/>
    <w:rsid w:val="00C6256F"/>
    <w:rsid w:val="00C62DF9"/>
    <w:rsid w:val="00C643EB"/>
    <w:rsid w:val="00C73B64"/>
    <w:rsid w:val="00C8070A"/>
    <w:rsid w:val="00C82194"/>
    <w:rsid w:val="00C84C62"/>
    <w:rsid w:val="00C948FB"/>
    <w:rsid w:val="00C95CE8"/>
    <w:rsid w:val="00C977A7"/>
    <w:rsid w:val="00CB4A34"/>
    <w:rsid w:val="00CB4E58"/>
    <w:rsid w:val="00CC2835"/>
    <w:rsid w:val="00CC31D3"/>
    <w:rsid w:val="00CC5271"/>
    <w:rsid w:val="00CE5B66"/>
    <w:rsid w:val="00CE76EE"/>
    <w:rsid w:val="00CF2FE9"/>
    <w:rsid w:val="00CF3A29"/>
    <w:rsid w:val="00D001F2"/>
    <w:rsid w:val="00D05AF2"/>
    <w:rsid w:val="00D145B5"/>
    <w:rsid w:val="00D20D0E"/>
    <w:rsid w:val="00D21321"/>
    <w:rsid w:val="00D2337F"/>
    <w:rsid w:val="00D25AD7"/>
    <w:rsid w:val="00D2783A"/>
    <w:rsid w:val="00D32726"/>
    <w:rsid w:val="00D624EC"/>
    <w:rsid w:val="00D7034D"/>
    <w:rsid w:val="00D703D9"/>
    <w:rsid w:val="00D80D47"/>
    <w:rsid w:val="00D878AD"/>
    <w:rsid w:val="00D94443"/>
    <w:rsid w:val="00D9770F"/>
    <w:rsid w:val="00DA0C59"/>
    <w:rsid w:val="00DB2EF4"/>
    <w:rsid w:val="00DB7690"/>
    <w:rsid w:val="00DC3DFA"/>
    <w:rsid w:val="00DD18E4"/>
    <w:rsid w:val="00DD1FDF"/>
    <w:rsid w:val="00DF07A3"/>
    <w:rsid w:val="00DF3C5F"/>
    <w:rsid w:val="00DF4CC0"/>
    <w:rsid w:val="00DF7459"/>
    <w:rsid w:val="00E108C3"/>
    <w:rsid w:val="00E216D5"/>
    <w:rsid w:val="00E358F5"/>
    <w:rsid w:val="00E36272"/>
    <w:rsid w:val="00E5010C"/>
    <w:rsid w:val="00E626DE"/>
    <w:rsid w:val="00E77727"/>
    <w:rsid w:val="00E83A39"/>
    <w:rsid w:val="00E85DE9"/>
    <w:rsid w:val="00E94E14"/>
    <w:rsid w:val="00EA70C3"/>
    <w:rsid w:val="00EB6139"/>
    <w:rsid w:val="00EB7A63"/>
    <w:rsid w:val="00EC027C"/>
    <w:rsid w:val="00EC4849"/>
    <w:rsid w:val="00EE2E3E"/>
    <w:rsid w:val="00EE6729"/>
    <w:rsid w:val="00EE69EA"/>
    <w:rsid w:val="00F073FE"/>
    <w:rsid w:val="00F140B2"/>
    <w:rsid w:val="00F1506D"/>
    <w:rsid w:val="00F22814"/>
    <w:rsid w:val="00F34FC9"/>
    <w:rsid w:val="00F366AC"/>
    <w:rsid w:val="00F402E3"/>
    <w:rsid w:val="00F55977"/>
    <w:rsid w:val="00F56098"/>
    <w:rsid w:val="00F622E2"/>
    <w:rsid w:val="00F71101"/>
    <w:rsid w:val="00F75E12"/>
    <w:rsid w:val="00F769A3"/>
    <w:rsid w:val="00F8142A"/>
    <w:rsid w:val="00F84374"/>
    <w:rsid w:val="00FA1925"/>
    <w:rsid w:val="00FA4A9E"/>
    <w:rsid w:val="00FB35AA"/>
    <w:rsid w:val="00FB3CDE"/>
    <w:rsid w:val="00FC3A35"/>
    <w:rsid w:val="00FC4758"/>
    <w:rsid w:val="00FE21C2"/>
    <w:rsid w:val="011B5B12"/>
    <w:rsid w:val="0284231A"/>
    <w:rsid w:val="03E033F6"/>
    <w:rsid w:val="03F3336E"/>
    <w:rsid w:val="04130F02"/>
    <w:rsid w:val="04231B50"/>
    <w:rsid w:val="045A6D9E"/>
    <w:rsid w:val="04B12B76"/>
    <w:rsid w:val="075B1444"/>
    <w:rsid w:val="076D0736"/>
    <w:rsid w:val="07AF150A"/>
    <w:rsid w:val="085B67FA"/>
    <w:rsid w:val="09EF6C13"/>
    <w:rsid w:val="0B1310D5"/>
    <w:rsid w:val="0C8105F4"/>
    <w:rsid w:val="0CA9618F"/>
    <w:rsid w:val="0D50069F"/>
    <w:rsid w:val="0D923ACA"/>
    <w:rsid w:val="0E616F40"/>
    <w:rsid w:val="0ECE63BF"/>
    <w:rsid w:val="0FC6538B"/>
    <w:rsid w:val="1017762C"/>
    <w:rsid w:val="10AF15BA"/>
    <w:rsid w:val="10D71624"/>
    <w:rsid w:val="11177C7A"/>
    <w:rsid w:val="130070B8"/>
    <w:rsid w:val="13080B21"/>
    <w:rsid w:val="13E60F44"/>
    <w:rsid w:val="144D0E78"/>
    <w:rsid w:val="15054772"/>
    <w:rsid w:val="15BC3C06"/>
    <w:rsid w:val="168C065D"/>
    <w:rsid w:val="16B5368E"/>
    <w:rsid w:val="16EA6010"/>
    <w:rsid w:val="174A2CB1"/>
    <w:rsid w:val="192F2F46"/>
    <w:rsid w:val="1D8A2A83"/>
    <w:rsid w:val="1DD40EE8"/>
    <w:rsid w:val="1E3A24F9"/>
    <w:rsid w:val="1E4B3715"/>
    <w:rsid w:val="1EEE2B9E"/>
    <w:rsid w:val="1F5F0396"/>
    <w:rsid w:val="214C2744"/>
    <w:rsid w:val="219C4B33"/>
    <w:rsid w:val="22033A80"/>
    <w:rsid w:val="22C93460"/>
    <w:rsid w:val="253E58DC"/>
    <w:rsid w:val="255641D7"/>
    <w:rsid w:val="264B4D7A"/>
    <w:rsid w:val="2677C3BE"/>
    <w:rsid w:val="267C3AED"/>
    <w:rsid w:val="26C36BDE"/>
    <w:rsid w:val="277876E3"/>
    <w:rsid w:val="27806612"/>
    <w:rsid w:val="28135946"/>
    <w:rsid w:val="286F2FA1"/>
    <w:rsid w:val="28D948BF"/>
    <w:rsid w:val="292B488B"/>
    <w:rsid w:val="294C6E3F"/>
    <w:rsid w:val="2ADF11B5"/>
    <w:rsid w:val="2BBC3228"/>
    <w:rsid w:val="2BFF8EDB"/>
    <w:rsid w:val="2C723C9C"/>
    <w:rsid w:val="2D1761A4"/>
    <w:rsid w:val="2D2325AC"/>
    <w:rsid w:val="2D375FCD"/>
    <w:rsid w:val="2E0A5087"/>
    <w:rsid w:val="2E3E119B"/>
    <w:rsid w:val="2E4972BC"/>
    <w:rsid w:val="2FAF273B"/>
    <w:rsid w:val="30B57CC4"/>
    <w:rsid w:val="311E5BE3"/>
    <w:rsid w:val="319B388F"/>
    <w:rsid w:val="31EDC872"/>
    <w:rsid w:val="322F7E9B"/>
    <w:rsid w:val="32756639"/>
    <w:rsid w:val="357961FE"/>
    <w:rsid w:val="36D4445A"/>
    <w:rsid w:val="36DBB73A"/>
    <w:rsid w:val="377CE01A"/>
    <w:rsid w:val="37C84780"/>
    <w:rsid w:val="38836992"/>
    <w:rsid w:val="38FD673D"/>
    <w:rsid w:val="3919083B"/>
    <w:rsid w:val="392A2F66"/>
    <w:rsid w:val="39631671"/>
    <w:rsid w:val="39736DA1"/>
    <w:rsid w:val="3A185405"/>
    <w:rsid w:val="3AA951DB"/>
    <w:rsid w:val="3B7BFAC0"/>
    <w:rsid w:val="3CCC5E54"/>
    <w:rsid w:val="3CDE3FE1"/>
    <w:rsid w:val="3CE542CE"/>
    <w:rsid w:val="3CF270DD"/>
    <w:rsid w:val="3D874491"/>
    <w:rsid w:val="3E4B1C77"/>
    <w:rsid w:val="3E5053BF"/>
    <w:rsid w:val="3E6D50FB"/>
    <w:rsid w:val="3E6FAAA9"/>
    <w:rsid w:val="3EFFCC8D"/>
    <w:rsid w:val="3FF2D98A"/>
    <w:rsid w:val="3FF3307D"/>
    <w:rsid w:val="3FFF33C2"/>
    <w:rsid w:val="41C75847"/>
    <w:rsid w:val="44F05591"/>
    <w:rsid w:val="45A61B22"/>
    <w:rsid w:val="45C212E3"/>
    <w:rsid w:val="464C0026"/>
    <w:rsid w:val="46CB501F"/>
    <w:rsid w:val="477473DC"/>
    <w:rsid w:val="4828365D"/>
    <w:rsid w:val="48482FCB"/>
    <w:rsid w:val="493045B5"/>
    <w:rsid w:val="49A93E0B"/>
    <w:rsid w:val="49EC12C1"/>
    <w:rsid w:val="4A070E34"/>
    <w:rsid w:val="4A82046F"/>
    <w:rsid w:val="4B2766B2"/>
    <w:rsid w:val="4B3D7ED2"/>
    <w:rsid w:val="4B401DE0"/>
    <w:rsid w:val="4BF244EE"/>
    <w:rsid w:val="4C121288"/>
    <w:rsid w:val="4CEA6F9F"/>
    <w:rsid w:val="4D2025A6"/>
    <w:rsid w:val="4D6C2518"/>
    <w:rsid w:val="4EBA07F2"/>
    <w:rsid w:val="4F381A8F"/>
    <w:rsid w:val="4F3F3A88"/>
    <w:rsid w:val="51027638"/>
    <w:rsid w:val="5401606C"/>
    <w:rsid w:val="55C92445"/>
    <w:rsid w:val="56072DF7"/>
    <w:rsid w:val="56D21FFB"/>
    <w:rsid w:val="579E52A9"/>
    <w:rsid w:val="587D7EF4"/>
    <w:rsid w:val="59C41AD9"/>
    <w:rsid w:val="59D41E7A"/>
    <w:rsid w:val="5AF80022"/>
    <w:rsid w:val="5B915D34"/>
    <w:rsid w:val="5BEB1F4B"/>
    <w:rsid w:val="5BF342AB"/>
    <w:rsid w:val="5BF7A65B"/>
    <w:rsid w:val="5CC723BC"/>
    <w:rsid w:val="5D242FA7"/>
    <w:rsid w:val="5D7FA4D7"/>
    <w:rsid w:val="5DD3093E"/>
    <w:rsid w:val="5DD93C33"/>
    <w:rsid w:val="5DED8A89"/>
    <w:rsid w:val="5DF61AF3"/>
    <w:rsid w:val="5E2D0A36"/>
    <w:rsid w:val="5E56E3AC"/>
    <w:rsid w:val="5E864557"/>
    <w:rsid w:val="5EDE1418"/>
    <w:rsid w:val="5F100835"/>
    <w:rsid w:val="5FF772DD"/>
    <w:rsid w:val="60894626"/>
    <w:rsid w:val="61584545"/>
    <w:rsid w:val="621D4606"/>
    <w:rsid w:val="626A09ED"/>
    <w:rsid w:val="635222C3"/>
    <w:rsid w:val="65DA0D53"/>
    <w:rsid w:val="65FD11F6"/>
    <w:rsid w:val="666929DD"/>
    <w:rsid w:val="674D533F"/>
    <w:rsid w:val="679909C4"/>
    <w:rsid w:val="67A86DF5"/>
    <w:rsid w:val="67FF086C"/>
    <w:rsid w:val="68330F5E"/>
    <w:rsid w:val="68531F7E"/>
    <w:rsid w:val="68C13645"/>
    <w:rsid w:val="68CD7B38"/>
    <w:rsid w:val="6904552F"/>
    <w:rsid w:val="69286279"/>
    <w:rsid w:val="6A412A62"/>
    <w:rsid w:val="6A8D4C80"/>
    <w:rsid w:val="6B2471E7"/>
    <w:rsid w:val="6BF23FB5"/>
    <w:rsid w:val="6C0520AC"/>
    <w:rsid w:val="6CAF6819"/>
    <w:rsid w:val="6CD75B4A"/>
    <w:rsid w:val="6D7B9218"/>
    <w:rsid w:val="6DC82912"/>
    <w:rsid w:val="6DF77A59"/>
    <w:rsid w:val="6E3B55CE"/>
    <w:rsid w:val="6E3C2375"/>
    <w:rsid w:val="6E4759B4"/>
    <w:rsid w:val="6E83163C"/>
    <w:rsid w:val="6EAD3A70"/>
    <w:rsid w:val="6EDF8966"/>
    <w:rsid w:val="6FB79610"/>
    <w:rsid w:val="708E6CF2"/>
    <w:rsid w:val="71830048"/>
    <w:rsid w:val="71FB0D78"/>
    <w:rsid w:val="727764CB"/>
    <w:rsid w:val="72FA40D4"/>
    <w:rsid w:val="7337292D"/>
    <w:rsid w:val="735043F3"/>
    <w:rsid w:val="736F4BF5"/>
    <w:rsid w:val="74666158"/>
    <w:rsid w:val="747E3C93"/>
    <w:rsid w:val="75C91A94"/>
    <w:rsid w:val="75EFDBE4"/>
    <w:rsid w:val="75F7E329"/>
    <w:rsid w:val="764F3097"/>
    <w:rsid w:val="769F971F"/>
    <w:rsid w:val="770B77CB"/>
    <w:rsid w:val="773FC0C0"/>
    <w:rsid w:val="77BE5E82"/>
    <w:rsid w:val="77DBCF00"/>
    <w:rsid w:val="78F80C33"/>
    <w:rsid w:val="7902433A"/>
    <w:rsid w:val="79DAE0D1"/>
    <w:rsid w:val="79E64A22"/>
    <w:rsid w:val="7A0B6517"/>
    <w:rsid w:val="7A2B143A"/>
    <w:rsid w:val="7AF064CF"/>
    <w:rsid w:val="7AFB8BAA"/>
    <w:rsid w:val="7B35315C"/>
    <w:rsid w:val="7BBDBBF1"/>
    <w:rsid w:val="7BFF6DD4"/>
    <w:rsid w:val="7BFFE9F5"/>
    <w:rsid w:val="7C5A2796"/>
    <w:rsid w:val="7C957ECC"/>
    <w:rsid w:val="7CFBFBCC"/>
    <w:rsid w:val="7D2E7D0F"/>
    <w:rsid w:val="7E1D73D1"/>
    <w:rsid w:val="7E7F547E"/>
    <w:rsid w:val="7EA8185C"/>
    <w:rsid w:val="7EBF3148"/>
    <w:rsid w:val="7EDBF981"/>
    <w:rsid w:val="7EFD9A65"/>
    <w:rsid w:val="7F714CF8"/>
    <w:rsid w:val="7F764BAE"/>
    <w:rsid w:val="7F7F4647"/>
    <w:rsid w:val="7F8F2333"/>
    <w:rsid w:val="7FEB4B9B"/>
    <w:rsid w:val="7FFE1B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26A6AF84"/>
  <w15:docId w15:val="{94E0ED3C-85DC-440B-ADB0-5E6824D8B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unhideWhenUsed="1" w:qFormat="1"/>
    <w:lsdException w:name="header"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等线" w:eastAsia="等线" w:hAnsi="等线" w:cs="宋体"/>
      <w:kern w:val="2"/>
      <w:sz w:val="21"/>
      <w:szCs w:val="22"/>
    </w:rPr>
  </w:style>
  <w:style w:type="paragraph" w:styleId="1">
    <w:name w:val="heading 1"/>
    <w:basedOn w:val="a"/>
    <w:next w:val="a"/>
    <w:link w:val="10"/>
    <w:qFormat/>
    <w:pPr>
      <w:keepNext/>
      <w:keepLines/>
      <w:snapToGrid w:val="0"/>
      <w:spacing w:before="360" w:after="360"/>
      <w:jc w:val="center"/>
      <w:outlineLvl w:val="0"/>
    </w:pPr>
    <w:rPr>
      <w:rFonts w:ascii="Times New Roman" w:eastAsia="黑体" w:hAnsi="Times New Roman" w:cs="Times New Roman"/>
      <w:bCs/>
      <w:snapToGrid w:val="0"/>
      <w:spacing w:val="2"/>
      <w:kern w:val="44"/>
      <w:sz w:val="36"/>
      <w:szCs w:val="44"/>
    </w:rPr>
  </w:style>
  <w:style w:type="paragraph" w:styleId="2">
    <w:name w:val="heading 2"/>
    <w:basedOn w:val="a"/>
    <w:next w:val="a"/>
    <w:link w:val="20"/>
    <w:qFormat/>
    <w:pPr>
      <w:keepNext/>
      <w:keepLines/>
      <w:snapToGrid w:val="0"/>
      <w:spacing w:after="80"/>
      <w:jc w:val="center"/>
      <w:outlineLvl w:val="1"/>
    </w:pPr>
    <w:rPr>
      <w:rFonts w:ascii="Times New Roman" w:eastAsia="华文仿宋" w:hAnsi="Times New Roman" w:cs="Times New Roman"/>
      <w:bCs/>
      <w:spacing w:val="2"/>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w:basedOn w:val="a"/>
    <w:link w:val="a6"/>
    <w:uiPriority w:val="1"/>
    <w:qFormat/>
    <w:pPr>
      <w:autoSpaceDE w:val="0"/>
      <w:autoSpaceDN w:val="0"/>
      <w:ind w:hanging="360"/>
      <w:jc w:val="left"/>
    </w:pPr>
    <w:rPr>
      <w:rFonts w:ascii="仿宋" w:eastAsia="仿宋" w:hAnsi="仿宋" w:cs="仿宋"/>
      <w:kern w:val="0"/>
      <w:sz w:val="24"/>
      <w:szCs w:val="24"/>
      <w:lang w:val="zh-CN" w:bidi="zh-CN"/>
    </w:rPr>
  </w:style>
  <w:style w:type="paragraph" w:styleId="a7">
    <w:name w:val="Body Text Indent"/>
    <w:basedOn w:val="a"/>
    <w:qFormat/>
    <w:pPr>
      <w:ind w:firstLine="555"/>
    </w:pPr>
    <w:rPr>
      <w:rFonts w:ascii="仿宋_GB2312" w:eastAsia="仿宋_GB2312"/>
      <w:sz w:val="32"/>
    </w:rPr>
  </w:style>
  <w:style w:type="paragraph" w:styleId="a8">
    <w:name w:val="Plain Text"/>
    <w:basedOn w:val="a"/>
    <w:link w:val="a9"/>
    <w:uiPriority w:val="99"/>
    <w:unhideWhenUsed/>
    <w:qFormat/>
    <w:pPr>
      <w:spacing w:after="200" w:line="276" w:lineRule="auto"/>
    </w:pPr>
    <w:rPr>
      <w:rFonts w:ascii="宋体" w:eastAsia="宋体" w:hAnsi="Courier New" w:cs="Courier New"/>
      <w:szCs w:val="21"/>
    </w:rPr>
  </w:style>
  <w:style w:type="paragraph" w:styleId="aa">
    <w:name w:val="Date"/>
    <w:basedOn w:val="a"/>
    <w:next w:val="a"/>
    <w:link w:val="ab"/>
    <w:uiPriority w:val="99"/>
    <w:qFormat/>
    <w:pPr>
      <w:ind w:leftChars="2500" w:left="100"/>
    </w:pPr>
  </w:style>
  <w:style w:type="paragraph" w:styleId="ac">
    <w:name w:val="Balloon Text"/>
    <w:basedOn w:val="a"/>
    <w:link w:val="ad"/>
    <w:uiPriority w:val="99"/>
    <w:qFormat/>
    <w:rPr>
      <w:sz w:val="18"/>
      <w:szCs w:val="18"/>
    </w:rPr>
  </w:style>
  <w:style w:type="paragraph" w:styleId="ae">
    <w:name w:val="footer"/>
    <w:basedOn w:val="a"/>
    <w:link w:val="af"/>
    <w:qFormat/>
    <w:pPr>
      <w:tabs>
        <w:tab w:val="center" w:pos="4153"/>
        <w:tab w:val="right" w:pos="8306"/>
      </w:tabs>
      <w:snapToGrid w:val="0"/>
      <w:jc w:val="left"/>
    </w:pPr>
    <w:rPr>
      <w:sz w:val="18"/>
      <w:szCs w:val="18"/>
    </w:rPr>
  </w:style>
  <w:style w:type="paragraph" w:styleId="af0">
    <w:name w:val="header"/>
    <w:basedOn w:val="a"/>
    <w:link w:val="af1"/>
    <w:uiPriority w:val="99"/>
    <w:qFormat/>
    <w:pPr>
      <w:pBdr>
        <w:bottom w:val="single" w:sz="6" w:space="1" w:color="auto"/>
      </w:pBdr>
      <w:tabs>
        <w:tab w:val="center" w:pos="4153"/>
        <w:tab w:val="right" w:pos="8306"/>
      </w:tabs>
      <w:snapToGrid w:val="0"/>
      <w:jc w:val="center"/>
    </w:pPr>
    <w:rPr>
      <w:sz w:val="18"/>
      <w:szCs w:val="18"/>
    </w:rPr>
  </w:style>
  <w:style w:type="paragraph" w:styleId="af2">
    <w:name w:val="footnote text"/>
    <w:basedOn w:val="ae"/>
    <w:link w:val="af3"/>
    <w:semiHidden/>
    <w:qFormat/>
    <w:pPr>
      <w:tabs>
        <w:tab w:val="clear" w:pos="4153"/>
        <w:tab w:val="clear" w:pos="8306"/>
      </w:tabs>
      <w:spacing w:after="40"/>
    </w:pPr>
    <w:rPr>
      <w:rFonts w:ascii="Times New Roman" w:eastAsia="宋体" w:hAnsi="Times New Roman" w:cs="Times New Roman"/>
      <w:spacing w:val="2"/>
      <w:sz w:val="15"/>
    </w:rPr>
  </w:style>
  <w:style w:type="paragraph" w:styleId="af4">
    <w:name w:val="Normal (Web)"/>
    <w:basedOn w:val="a"/>
    <w:uiPriority w:val="99"/>
    <w:qFormat/>
    <w:pPr>
      <w:widowControl/>
      <w:spacing w:before="100" w:beforeAutospacing="1" w:after="100" w:afterAutospacing="1"/>
      <w:jc w:val="left"/>
    </w:pPr>
    <w:rPr>
      <w:rFonts w:ascii="宋体" w:eastAsia="宋体" w:hAnsi="宋体"/>
      <w:kern w:val="0"/>
      <w:sz w:val="24"/>
      <w:szCs w:val="24"/>
    </w:rPr>
  </w:style>
  <w:style w:type="paragraph" w:styleId="af5">
    <w:name w:val="Title"/>
    <w:basedOn w:val="a"/>
    <w:next w:val="a"/>
    <w:uiPriority w:val="10"/>
    <w:qFormat/>
    <w:pPr>
      <w:spacing w:before="240" w:after="60"/>
      <w:jc w:val="center"/>
      <w:outlineLvl w:val="0"/>
    </w:pPr>
    <w:rPr>
      <w:rFonts w:ascii="Cambria" w:hAnsi="Cambria" w:cs="Times New Roman"/>
      <w:b/>
      <w:bCs/>
      <w:sz w:val="32"/>
      <w:szCs w:val="32"/>
    </w:rPr>
  </w:style>
  <w:style w:type="paragraph" w:styleId="af6">
    <w:name w:val="annotation subject"/>
    <w:basedOn w:val="a3"/>
    <w:next w:val="a3"/>
    <w:link w:val="af7"/>
    <w:uiPriority w:val="99"/>
    <w:semiHidden/>
    <w:unhideWhenUsed/>
    <w:qFormat/>
    <w:rPr>
      <w:b/>
      <w:bCs/>
    </w:rPr>
  </w:style>
  <w:style w:type="table" w:styleId="af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0"/>
    <w:uiPriority w:val="99"/>
    <w:qFormat/>
    <w:rPr>
      <w:b/>
      <w:bCs/>
    </w:rPr>
  </w:style>
  <w:style w:type="character" w:styleId="afa">
    <w:name w:val="page number"/>
    <w:basedOn w:val="a0"/>
    <w:qFormat/>
  </w:style>
  <w:style w:type="character" w:styleId="afb">
    <w:name w:val="Hyperlink"/>
    <w:basedOn w:val="a0"/>
    <w:uiPriority w:val="99"/>
    <w:qFormat/>
    <w:rPr>
      <w:color w:val="0563C1"/>
      <w:u w:val="single"/>
    </w:rPr>
  </w:style>
  <w:style w:type="character" w:styleId="afc">
    <w:name w:val="annotation reference"/>
    <w:basedOn w:val="a0"/>
    <w:unhideWhenUsed/>
    <w:qFormat/>
    <w:rPr>
      <w:sz w:val="21"/>
      <w:szCs w:val="21"/>
    </w:rPr>
  </w:style>
  <w:style w:type="character" w:styleId="afd">
    <w:name w:val="footnote reference"/>
    <w:semiHidden/>
    <w:qFormat/>
    <w:rPr>
      <w:vertAlign w:val="superscript"/>
    </w:rPr>
  </w:style>
  <w:style w:type="character" w:customStyle="1" w:styleId="11">
    <w:name w:val="未处理的提及1"/>
    <w:basedOn w:val="a0"/>
    <w:uiPriority w:val="99"/>
    <w:qFormat/>
    <w:rPr>
      <w:color w:val="605E5C"/>
      <w:shd w:val="clear" w:color="auto" w:fill="E1DFDD"/>
    </w:rPr>
  </w:style>
  <w:style w:type="character" w:customStyle="1" w:styleId="af1">
    <w:name w:val="页眉 字符"/>
    <w:basedOn w:val="a0"/>
    <w:link w:val="af0"/>
    <w:uiPriority w:val="99"/>
    <w:qFormat/>
    <w:rPr>
      <w:sz w:val="18"/>
      <w:szCs w:val="18"/>
    </w:rPr>
  </w:style>
  <w:style w:type="character" w:customStyle="1" w:styleId="af">
    <w:name w:val="页脚 字符"/>
    <w:basedOn w:val="a0"/>
    <w:link w:val="ae"/>
    <w:uiPriority w:val="99"/>
    <w:qFormat/>
    <w:rPr>
      <w:sz w:val="18"/>
      <w:szCs w:val="18"/>
    </w:rPr>
  </w:style>
  <w:style w:type="character" w:customStyle="1" w:styleId="ab">
    <w:name w:val="日期 字符"/>
    <w:basedOn w:val="a0"/>
    <w:link w:val="aa"/>
    <w:uiPriority w:val="99"/>
    <w:qFormat/>
  </w:style>
  <w:style w:type="character" w:customStyle="1" w:styleId="ad">
    <w:name w:val="批注框文本 字符"/>
    <w:basedOn w:val="a0"/>
    <w:link w:val="ac"/>
    <w:uiPriority w:val="99"/>
    <w:qFormat/>
    <w:rPr>
      <w:sz w:val="18"/>
      <w:szCs w:val="18"/>
    </w:rPr>
  </w:style>
  <w:style w:type="paragraph" w:styleId="afe">
    <w:name w:val="List Paragraph"/>
    <w:basedOn w:val="a"/>
    <w:uiPriority w:val="34"/>
    <w:qFormat/>
    <w:pPr>
      <w:ind w:firstLineChars="200" w:firstLine="420"/>
    </w:pPr>
    <w:rPr>
      <w:rFonts w:ascii="宋体" w:eastAsia="宋体" w:hAnsi="宋体" w:cs="Times New Roman"/>
      <w:kern w:val="21"/>
      <w:sz w:val="24"/>
      <w:szCs w:val="24"/>
    </w:rPr>
  </w:style>
  <w:style w:type="paragraph" w:customStyle="1" w:styleId="Default">
    <w:name w:val="Default"/>
    <w:qFormat/>
    <w:pPr>
      <w:widowControl w:val="0"/>
      <w:autoSpaceDE w:val="0"/>
      <w:autoSpaceDN w:val="0"/>
      <w:adjustRightInd w:val="0"/>
    </w:pPr>
    <w:rPr>
      <w:rFonts w:ascii="宋体" w:hAnsi="等线" w:cs="宋体"/>
      <w:color w:val="000000"/>
      <w:sz w:val="24"/>
      <w:szCs w:val="24"/>
    </w:rPr>
  </w:style>
  <w:style w:type="paragraph" w:customStyle="1" w:styleId="msolistparagraph0">
    <w:name w:val="msolistparagraph"/>
    <w:basedOn w:val="a"/>
    <w:qFormat/>
    <w:pPr>
      <w:ind w:firstLineChars="200" w:firstLine="420"/>
    </w:pPr>
    <w:rPr>
      <w:rFonts w:ascii="Times New Roman" w:eastAsia="宋体" w:hAnsi="Times New Roman" w:cs="Times New Roman"/>
      <w:szCs w:val="24"/>
    </w:rPr>
  </w:style>
  <w:style w:type="character" w:customStyle="1" w:styleId="a6">
    <w:name w:val="正文文本 字符"/>
    <w:basedOn w:val="a0"/>
    <w:link w:val="a5"/>
    <w:uiPriority w:val="1"/>
    <w:qFormat/>
    <w:rPr>
      <w:rFonts w:ascii="仿宋" w:eastAsia="仿宋" w:hAnsi="仿宋" w:cs="仿宋"/>
      <w:sz w:val="24"/>
      <w:szCs w:val="24"/>
      <w:lang w:val="zh-CN" w:bidi="zh-CN"/>
    </w:rPr>
  </w:style>
  <w:style w:type="paragraph" w:customStyle="1" w:styleId="TableParagraph">
    <w:name w:val="Table Paragraph"/>
    <w:basedOn w:val="a"/>
    <w:uiPriority w:val="1"/>
    <w:qFormat/>
    <w:pPr>
      <w:autoSpaceDE w:val="0"/>
      <w:autoSpaceDN w:val="0"/>
      <w:jc w:val="left"/>
    </w:pPr>
    <w:rPr>
      <w:rFonts w:ascii="仿宋" w:eastAsia="仿宋" w:hAnsi="仿宋" w:cs="仿宋"/>
      <w:kern w:val="0"/>
      <w:sz w:val="22"/>
      <w:lang w:val="zh-CN" w:bidi="zh-CN"/>
    </w:rPr>
  </w:style>
  <w:style w:type="character" w:customStyle="1" w:styleId="a4">
    <w:name w:val="批注文字 字符"/>
    <w:basedOn w:val="a0"/>
    <w:link w:val="a3"/>
    <w:uiPriority w:val="99"/>
    <w:qFormat/>
    <w:rPr>
      <w:rFonts w:ascii="等线" w:eastAsia="等线" w:hAnsi="等线" w:cs="宋体"/>
      <w:kern w:val="2"/>
      <w:sz w:val="21"/>
      <w:szCs w:val="22"/>
    </w:rPr>
  </w:style>
  <w:style w:type="character" w:customStyle="1" w:styleId="af7">
    <w:name w:val="批注主题 字符"/>
    <w:basedOn w:val="a4"/>
    <w:link w:val="af6"/>
    <w:uiPriority w:val="99"/>
    <w:semiHidden/>
    <w:qFormat/>
    <w:rPr>
      <w:rFonts w:ascii="等线" w:eastAsia="等线" w:hAnsi="等线" w:cs="宋体"/>
      <w:b/>
      <w:bCs/>
      <w:kern w:val="2"/>
      <w:sz w:val="21"/>
      <w:szCs w:val="22"/>
    </w:rPr>
  </w:style>
  <w:style w:type="paragraph" w:customStyle="1" w:styleId="110">
    <w:name w:val="列出段落11"/>
    <w:basedOn w:val="a"/>
    <w:uiPriority w:val="34"/>
    <w:qFormat/>
    <w:pPr>
      <w:ind w:firstLineChars="200" w:firstLine="420"/>
    </w:pPr>
    <w:rPr>
      <w:rFonts w:cs="Times New Roman"/>
    </w:rPr>
  </w:style>
  <w:style w:type="character" w:customStyle="1" w:styleId="a9">
    <w:name w:val="纯文本 字符"/>
    <w:basedOn w:val="a0"/>
    <w:link w:val="a8"/>
    <w:uiPriority w:val="99"/>
    <w:qFormat/>
    <w:rPr>
      <w:rFonts w:ascii="宋体" w:hAnsi="Courier New" w:cs="Courier New"/>
      <w:kern w:val="2"/>
      <w:sz w:val="21"/>
      <w:szCs w:val="21"/>
    </w:rPr>
  </w:style>
  <w:style w:type="character" w:customStyle="1" w:styleId="21">
    <w:name w:val="未处理的提及2"/>
    <w:basedOn w:val="a0"/>
    <w:uiPriority w:val="99"/>
    <w:semiHidden/>
    <w:unhideWhenUsed/>
    <w:qFormat/>
    <w:rPr>
      <w:color w:val="605E5C"/>
      <w:shd w:val="clear" w:color="auto" w:fill="E1DFDD"/>
    </w:rPr>
  </w:style>
  <w:style w:type="paragraph" w:customStyle="1" w:styleId="12">
    <w:name w:val="修订1"/>
    <w:hidden/>
    <w:uiPriority w:val="99"/>
    <w:semiHidden/>
    <w:qFormat/>
    <w:rPr>
      <w:rFonts w:ascii="等线" w:eastAsia="等线" w:hAnsi="等线" w:cs="宋体"/>
      <w:kern w:val="2"/>
      <w:sz w:val="21"/>
      <w:szCs w:val="22"/>
    </w:rPr>
  </w:style>
  <w:style w:type="character" w:customStyle="1" w:styleId="3">
    <w:name w:val="未处理的提及3"/>
    <w:basedOn w:val="a0"/>
    <w:uiPriority w:val="99"/>
    <w:semiHidden/>
    <w:unhideWhenUsed/>
    <w:qFormat/>
    <w:rPr>
      <w:color w:val="605E5C"/>
      <w:shd w:val="clear" w:color="auto" w:fill="E1DFDD"/>
    </w:rPr>
  </w:style>
  <w:style w:type="character" w:customStyle="1" w:styleId="4">
    <w:name w:val="未处理的提及4"/>
    <w:basedOn w:val="a0"/>
    <w:uiPriority w:val="99"/>
    <w:semiHidden/>
    <w:unhideWhenUsed/>
    <w:qFormat/>
    <w:rPr>
      <w:color w:val="605E5C"/>
      <w:shd w:val="clear" w:color="auto" w:fill="E1DFDD"/>
    </w:rPr>
  </w:style>
  <w:style w:type="character" w:customStyle="1" w:styleId="10">
    <w:name w:val="标题 1 字符"/>
    <w:basedOn w:val="a0"/>
    <w:link w:val="1"/>
    <w:qFormat/>
    <w:rPr>
      <w:rFonts w:eastAsia="黑体"/>
      <w:bCs/>
      <w:snapToGrid w:val="0"/>
      <w:spacing w:val="2"/>
      <w:kern w:val="44"/>
      <w:sz w:val="36"/>
      <w:szCs w:val="44"/>
    </w:rPr>
  </w:style>
  <w:style w:type="character" w:customStyle="1" w:styleId="20">
    <w:name w:val="标题 2 字符"/>
    <w:basedOn w:val="a0"/>
    <w:link w:val="2"/>
    <w:qFormat/>
    <w:rPr>
      <w:rFonts w:eastAsia="华文仿宋"/>
      <w:bCs/>
      <w:spacing w:val="2"/>
      <w:kern w:val="2"/>
      <w:sz w:val="28"/>
      <w:szCs w:val="32"/>
    </w:rPr>
  </w:style>
  <w:style w:type="paragraph" w:customStyle="1" w:styleId="13">
    <w:name w:val="样式1"/>
    <w:basedOn w:val="a"/>
    <w:qFormat/>
    <w:pPr>
      <w:snapToGrid w:val="0"/>
      <w:spacing w:after="240" w:line="276" w:lineRule="auto"/>
      <w:jc w:val="center"/>
    </w:pPr>
    <w:rPr>
      <w:rFonts w:ascii="Times New Roman" w:eastAsia="宋体" w:hAnsi="Times New Roman" w:cs="Times New Roman"/>
      <w:spacing w:val="2"/>
      <w:sz w:val="18"/>
      <w:szCs w:val="21"/>
    </w:rPr>
  </w:style>
  <w:style w:type="paragraph" w:customStyle="1" w:styleId="22">
    <w:name w:val="样式2"/>
    <w:basedOn w:val="a"/>
    <w:qFormat/>
    <w:pPr>
      <w:snapToGrid w:val="0"/>
      <w:spacing w:after="360" w:line="259" w:lineRule="auto"/>
      <w:ind w:left="454" w:right="454"/>
    </w:pPr>
    <w:rPr>
      <w:rFonts w:ascii="Times New Roman" w:eastAsia="宋体" w:hAnsi="Times New Roman" w:cs="Times New Roman"/>
      <w:snapToGrid w:val="0"/>
      <w:spacing w:val="2"/>
      <w:szCs w:val="24"/>
    </w:rPr>
  </w:style>
  <w:style w:type="paragraph" w:customStyle="1" w:styleId="30">
    <w:name w:val="样式3"/>
    <w:basedOn w:val="a"/>
    <w:qFormat/>
    <w:pPr>
      <w:snapToGrid w:val="0"/>
      <w:spacing w:after="140" w:line="274" w:lineRule="auto"/>
      <w:ind w:left="454" w:right="454"/>
      <w:jc w:val="left"/>
    </w:pPr>
    <w:rPr>
      <w:rFonts w:ascii="Times New Roman" w:eastAsia="宋体" w:hAnsi="Times New Roman" w:cs="Times New Roman"/>
      <w:color w:val="000000"/>
      <w:spacing w:val="2"/>
      <w:sz w:val="17"/>
      <w:szCs w:val="18"/>
    </w:rPr>
  </w:style>
  <w:style w:type="character" w:customStyle="1" w:styleId="af3">
    <w:name w:val="脚注文本 字符"/>
    <w:basedOn w:val="a0"/>
    <w:link w:val="af2"/>
    <w:semiHidden/>
    <w:qFormat/>
    <w:rPr>
      <w:spacing w:val="2"/>
      <w:kern w:val="2"/>
      <w:sz w:val="15"/>
      <w:szCs w:val="18"/>
    </w:rPr>
  </w:style>
  <w:style w:type="paragraph" w:customStyle="1" w:styleId="aff">
    <w:name w:val="英文标题"/>
    <w:basedOn w:val="a"/>
    <w:qFormat/>
    <w:pPr>
      <w:snapToGrid w:val="0"/>
      <w:spacing w:before="400" w:after="40" w:line="274" w:lineRule="auto"/>
      <w:ind w:left="454" w:right="454"/>
      <w:jc w:val="center"/>
    </w:pPr>
    <w:rPr>
      <w:rFonts w:ascii="Times New Roman" w:eastAsia="宋体" w:hAnsi="Times New Roman" w:cs="Times New Roman"/>
      <w:b/>
      <w:sz w:val="26"/>
      <w:szCs w:val="26"/>
    </w:rPr>
  </w:style>
  <w:style w:type="paragraph" w:customStyle="1" w:styleId="14">
    <w:name w:val="列表段落1"/>
    <w:qFormat/>
  </w:style>
  <w:style w:type="character" w:customStyle="1" w:styleId="NormalCharacter">
    <w:name w:val="NormalCharacter"/>
    <w:qFormat/>
  </w:style>
  <w:style w:type="paragraph" w:customStyle="1" w:styleId="aff0">
    <w:name w:val="公式编号格式"/>
    <w:basedOn w:val="a"/>
    <w:link w:val="Char"/>
    <w:qFormat/>
    <w:rPr>
      <w:rFonts w:ascii="Times New Roman" w:eastAsia="宋体" w:hAnsi="Times New Roman" w:cs="Times New Roman"/>
    </w:rPr>
  </w:style>
  <w:style w:type="character" w:customStyle="1" w:styleId="Char">
    <w:name w:val="公式编号格式 Char"/>
    <w:link w:val="aff0"/>
    <w:qFormat/>
    <w:rPr>
      <w:kern w:val="2"/>
      <w:sz w:val="21"/>
      <w:szCs w:val="22"/>
    </w:rPr>
  </w:style>
  <w:style w:type="paragraph" w:customStyle="1" w:styleId="aff1">
    <w:name w:val="公式居中"/>
    <w:basedOn w:val="a"/>
    <w:qFormat/>
    <w:pPr>
      <w:tabs>
        <w:tab w:val="center" w:pos="4253"/>
        <w:tab w:val="right" w:pos="8222"/>
      </w:tabs>
    </w:pPr>
    <w:rPr>
      <w:rFonts w:ascii="Calibri" w:eastAsia="宋体" w:hAnsi="Calibri" w:cs="Times New Roman"/>
      <w:sz w:val="24"/>
      <w:szCs w:val="30"/>
    </w:rPr>
  </w:style>
  <w:style w:type="paragraph" w:customStyle="1" w:styleId="23">
    <w:name w:val="修订2"/>
    <w:hidden/>
    <w:uiPriority w:val="99"/>
    <w:semiHidden/>
    <w:qFormat/>
    <w:rPr>
      <w:rFonts w:ascii="等线" w:eastAsia="等线" w:hAnsi="等线"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yperlink" Target="http://www.gamasutra.com/" TargetMode="Externa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20C19E-6343-4692-BD85-80948D2A7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924</Words>
  <Characters>5268</Characters>
  <Application>Microsoft Office Word</Application>
  <DocSecurity>0</DocSecurity>
  <Lines>43</Lines>
  <Paragraphs>12</Paragraphs>
  <ScaleCrop>false</ScaleCrop>
  <Company>Microsoft</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zhuweijin</dc:creator>
  <cp:lastModifiedBy>先生 蔡</cp:lastModifiedBy>
  <cp:revision>2</cp:revision>
  <cp:lastPrinted>2025-02-25T02:27:00Z</cp:lastPrinted>
  <dcterms:created xsi:type="dcterms:W3CDTF">2025-04-01T08:21:00Z</dcterms:created>
  <dcterms:modified xsi:type="dcterms:W3CDTF">2025-04-01T08:21:00Z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D8F277E516504FA3B1A147D8A5161C33_13</vt:lpwstr>
  </property>
  <property fmtid="{D5CDD505-2E9C-101B-9397-08002B2CF9AE}" pid="4" name="KSOTemplateDocerSaveRecord">
    <vt:lpwstr>eyJoZGlkIjoiZDhmZmFkMjhmZGVmYjVhNmQ2MjViZTQ1Njk0YWZhYjciLCJ1c2VySWQiOiIxNTY0OTExODMifQ==</vt:lpwstr>
  </property>
</Properties>
</file>