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0C1201">
      <w:pPr>
        <w:pStyle w:val="36"/>
        <w:framePr w:wrap="around" w:x="1393" w:y="5749"/>
        <w:rPr>
          <w:rFonts w:hint="eastAsia"/>
        </w:rPr>
      </w:pPr>
      <w:r>
        <w:rPr>
          <w:rFonts w:hint="eastAsia"/>
        </w:rPr>
        <w:t>发动机高原冷起动及加载测试方法</w:t>
      </w:r>
    </w:p>
    <w:p w14:paraId="02307962">
      <w:pPr>
        <w:pStyle w:val="31"/>
        <w:framePr w:wrap="around" w:x="1393"/>
        <w:rPr>
          <w:rFonts w:hint="eastAsia"/>
        </w:rPr>
      </w:pPr>
      <w:bookmarkStart w:id="0" w:name="_Hlk103243066"/>
      <w:r>
        <w:rPr>
          <w:rFonts w:hint="eastAsia"/>
        </w:rPr>
        <w:t>Engine plateau cold start and loading test methods</w:t>
      </w:r>
    </w:p>
    <w:p w14:paraId="32BBCB59">
      <w:pPr>
        <w:pStyle w:val="32"/>
        <w:framePr w:wrap="around"/>
      </w:pPr>
      <w:r>
        <w:t>20XX-XX-XX发布</w:t>
      </w:r>
      <w:r>
        <mc:AlternateContent>
          <mc:Choice Requires="wps">
            <w:drawing>
              <wp:anchor distT="0" distB="0" distL="114300" distR="114300" simplePos="0" relativeHeight="251659264" behindDoc="0" locked="1" layoutInCell="1" allowOverlap="1">
                <wp:simplePos x="0" y="0"/>
                <wp:positionH relativeFrom="column">
                  <wp:posOffset>-635</wp:posOffset>
                </wp:positionH>
                <wp:positionV relativeFrom="page">
                  <wp:posOffset>9251950</wp:posOffset>
                </wp:positionV>
                <wp:extent cx="6120130" cy="0"/>
                <wp:effectExtent l="13970" t="12700" r="9525" b="6350"/>
                <wp:wrapNone/>
                <wp:docPr id="3" name="Line 10"/>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Line 10" o:spid="_x0000_s1026" o:spt="20" style="position:absolute;left:0pt;margin-left:-0.05pt;margin-top:728.5pt;height:0pt;width:481.9pt;mso-position-vertical-relative:page;z-index:251659264;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JYdrPNYAAAALAQAADwAAAAAAAAABACAAAAAiAAAAZHJzL2Rv&#10;d25yZXYueG1sUEsBAhQAFAAAAAgAh07iQFtSG4nKAQAAoAMAAA4AAAAAAAAAAQAgAAAAJQEAAGRy&#10;cy9lMm9Eb2MueG1sUEsFBgAAAAAGAAYAWQEAAGEFAAAAAA==&#10;">
                <v:fill on="f" focussize="0,0"/>
                <v:stroke color="#000000" joinstyle="round"/>
                <v:imagedata o:title=""/>
                <o:lock v:ext="edit" aspectratio="f"/>
                <w10:anchorlock/>
              </v:line>
            </w:pict>
          </mc:Fallback>
        </mc:AlternateContent>
      </w:r>
    </w:p>
    <w:p w14:paraId="16E76238">
      <w:pPr>
        <w:pStyle w:val="33"/>
        <w:framePr w:wrap="around"/>
      </w:pPr>
      <w:r>
        <w:t>20XX-XX-XX实施</w:t>
      </w:r>
    </w:p>
    <w:p w14:paraId="148EDEFB">
      <w:pPr>
        <w:pStyle w:val="30"/>
        <w:framePr w:wrap="around"/>
        <w:rPr>
          <w:rFonts w:ascii="Times New Roman" w:eastAsia="黑体"/>
          <w:b w:val="0"/>
        </w:rPr>
      </w:pPr>
      <w:r>
        <w:rPr>
          <w:rFonts w:ascii="Times New Roman" w:eastAsia="黑体"/>
          <w:b w:val="0"/>
          <w:spacing w:val="0"/>
          <w:szCs w:val="28"/>
        </w:rPr>
        <w:t>中国内燃机学会</w:t>
      </w:r>
      <w:r>
        <w:rPr>
          <w:rFonts w:ascii="Times New Roman" w:eastAsia="黑体"/>
          <w:b w:val="0"/>
          <w:spacing w:val="0"/>
          <w:sz w:val="44"/>
          <w:szCs w:val="44"/>
        </w:rPr>
        <w:t xml:space="preserve">  </w:t>
      </w:r>
      <w:r>
        <w:rPr>
          <w:rFonts w:ascii="Times New Roman" w:eastAsia="黑体"/>
          <w:b w:val="0"/>
          <w:spacing w:val="0"/>
          <w:szCs w:val="28"/>
        </w:rPr>
        <w:t>发布</w:t>
      </w:r>
      <w:bookmarkEnd w:id="0"/>
    </w:p>
    <w:p w14:paraId="247B249D">
      <w:pPr>
        <w:pStyle w:val="25"/>
        <w:ind w:firstLine="0" w:firstLineChars="0"/>
        <w:rPr>
          <w:rFonts w:ascii="Times New Roman" w:hAnsi="Times New Roman" w:eastAsia="黑体"/>
        </w:rPr>
      </w:pPr>
      <w:r>
        <w:rPr>
          <w:rFonts w:ascii="Times New Roman" w:hAnsi="Times New Roman" w:eastAsia="黑体"/>
        </w:rPr>
        <w:t xml:space="preserve">ICS 27.020 </w:t>
      </w:r>
    </w:p>
    <w:p w14:paraId="5ABEF0C8">
      <w:pPr>
        <w:pStyle w:val="35"/>
        <w:framePr w:h="1411" w:hRule="exact" w:wrap="around"/>
        <w:rPr>
          <w:rFonts w:ascii="Times New Roman" w:eastAsia="黑体"/>
          <w:b w:val="0"/>
          <w:spacing w:val="0"/>
          <w:w w:val="100"/>
          <w:sz w:val="84"/>
          <w:szCs w:val="84"/>
        </w:rPr>
      </w:pPr>
      <w:r>
        <w:rPr>
          <w:rFonts w:ascii="Times New Roman" w:eastAsia="黑体"/>
          <w:b w:val="0"/>
          <w:spacing w:val="0"/>
          <w:w w:val="100"/>
          <w:sz w:val="84"/>
          <w:szCs w:val="84"/>
        </w:rPr>
        <w:t>团体标准</w:t>
      </w:r>
    </w:p>
    <w:p w14:paraId="3BCDF547">
      <w:pPr>
        <w:pStyle w:val="34"/>
        <w:framePr w:wrap="around" w:y="3481"/>
        <w:wordWrap w:val="0"/>
        <w:rPr>
          <w:rFonts w:ascii="Times New Roman"/>
        </w:rPr>
      </w:pPr>
      <w:r>
        <w:rPr>
          <w:rFonts w:ascii="Times New Roman"/>
        </w:rPr>
        <w:t>T/CSICE XXXX-20XX</w:t>
      </w:r>
    </w:p>
    <w:p w14:paraId="51E70C53">
      <w:pPr>
        <w:pStyle w:val="34"/>
        <w:framePr w:wrap="around" w:y="3481"/>
        <w:rPr>
          <w:rFonts w:ascii="Times New Roman"/>
        </w:rPr>
      </w:pPr>
    </w:p>
    <w:p w14:paraId="673AA2A5">
      <w:pPr>
        <w:pStyle w:val="34"/>
        <w:framePr w:wrap="around" w:y="3481"/>
        <w:rPr>
          <w:rFonts w:ascii="Times New Roman"/>
        </w:rPr>
      </w:pPr>
    </w:p>
    <w:p w14:paraId="6654C8D2">
      <w:pPr>
        <w:pStyle w:val="25"/>
        <w:ind w:firstLine="0" w:firstLineChars="0"/>
        <w:rPr>
          <w:rFonts w:ascii="Times New Roman" w:hAnsi="Times New Roman" w:eastAsia="黑体"/>
        </w:rPr>
      </w:pPr>
      <w:r>
        <w:rPr>
          <w:rFonts w:ascii="Times New Roman" w:hAnsi="Times New Roman" w:eastAsia="黑体"/>
        </w:rPr>
        <w:t>CCS J 92</w:t>
      </w:r>
      <w:r>
        <w:rPr>
          <w:rFonts w:ascii="Times New Roman" w:hAnsi="Times New Roman" w:eastAsia="黑体"/>
        </w:rPr>
        <mc:AlternateContent>
          <mc:Choice Requires="wps">
            <w:drawing>
              <wp:anchor distT="0" distB="0" distL="114300" distR="114300" simplePos="0" relativeHeight="251660288" behindDoc="0" locked="0" layoutInCell="1" allowOverlap="1">
                <wp:simplePos x="0" y="0"/>
                <wp:positionH relativeFrom="column">
                  <wp:posOffset>-635</wp:posOffset>
                </wp:positionH>
                <wp:positionV relativeFrom="paragraph">
                  <wp:posOffset>2339975</wp:posOffset>
                </wp:positionV>
                <wp:extent cx="6120130" cy="0"/>
                <wp:effectExtent l="13970" t="12065" r="9525" b="6985"/>
                <wp:wrapNone/>
                <wp:docPr id="2" name="Line 11"/>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Line 11" o:spid="_x0000_s1026" o:spt="20" style="position:absolute;left:0pt;margin-left:-0.05pt;margin-top:184.25pt;height:0pt;width:481.9pt;z-index:251660288;mso-width-relative:page;mso-height-relative:page;" filled="f" stroked="t" coordsize="21600,21600"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BCQeJf1wAAAAkBAAAPAAAAAAAAAAEAIAAAACIAAABkcnMvZG93&#10;bnJldi54bWxQSwECFAAUAAAACACHTuJA3SaJLsgBAACgAwAADgAAAAAAAAABACAAAAAmAQAAZHJz&#10;L2Uyb0RvYy54bWxQSwUGAAAAAAYABgBZAQAAYAUAAAAA&#10;">
                <v:fill on="f" focussize="0,0"/>
                <v:stroke color="#000000" joinstyle="round"/>
                <v:imagedata o:title=""/>
                <o:lock v:ext="edit" aspectratio="f"/>
              </v:line>
            </w:pict>
          </mc:Fallback>
        </mc:AlternateContent>
      </w:r>
    </w:p>
    <w:p w14:paraId="67875657">
      <w:pPr>
        <w:pStyle w:val="25"/>
        <w:ind w:firstLine="420"/>
        <w:rPr>
          <w:rFonts w:ascii="Times New Roman" w:hAnsi="Times New Roman"/>
        </w:rPr>
        <w:sectPr>
          <w:headerReference r:id="rId4" w:type="first"/>
          <w:headerReference r:id="rId3" w:type="even"/>
          <w:footerReference r:id="rId5" w:type="even"/>
          <w:pgSz w:w="11906" w:h="16838"/>
          <w:pgMar w:top="567" w:right="1134" w:bottom="1134" w:left="1418" w:header="567" w:footer="1134" w:gutter="0"/>
          <w:pgBorders>
            <w:top w:val="none" w:sz="0" w:space="0"/>
            <w:left w:val="none" w:sz="0" w:space="0"/>
            <w:bottom w:val="none" w:sz="0" w:space="0"/>
            <w:right w:val="none" w:sz="0" w:space="0"/>
          </w:pgBorders>
          <w:cols w:space="425" w:num="1"/>
          <w:titlePg/>
          <w:docGrid w:type="lines" w:linePitch="312" w:charSpace="0"/>
        </w:sectPr>
      </w:pPr>
      <w:r>
        <w:rPr>
          <w:rFonts w:ascii="Times New Roman" w:hAnsi="Times New Roman"/>
        </w:rPr>
        <mc:AlternateContent>
          <mc:Choice Requires="wps">
            <w:drawing>
              <wp:anchor distT="0" distB="0" distL="114300" distR="114300" simplePos="0" relativeHeight="251661312" behindDoc="0" locked="1" layoutInCell="1" allowOverlap="1">
                <wp:simplePos x="0" y="0"/>
                <wp:positionH relativeFrom="column">
                  <wp:posOffset>-635</wp:posOffset>
                </wp:positionH>
                <wp:positionV relativeFrom="page">
                  <wp:posOffset>9251950</wp:posOffset>
                </wp:positionV>
                <wp:extent cx="6120130" cy="0"/>
                <wp:effectExtent l="0" t="0" r="0" b="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0.05pt;margin-top:728.5pt;height:0pt;width:481.9pt;mso-position-vertical-relative:page;z-index:251661312;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JYdrPNYAAAALAQAA&#10;DwAAAAAAAAABACAAAAAiAAAAZHJzL2Rvd25yZXYueG1sUEsBAhQAFAAAAAgAh07iQE3UVwTiAQAA&#10;qgMAAA4AAAAAAAAAAQAgAAAAJQEAAGRycy9lMm9Eb2MueG1sUEsFBgAAAAAGAAYAWQEAAHkFAAAA&#10;AA==&#10;">
                <v:fill on="f" focussize="0,0"/>
                <v:stroke color="#000000" joinstyle="round"/>
                <v:imagedata o:title=""/>
                <o:lock v:ext="edit" aspectratio="f"/>
                <w10:anchorlock/>
              </v:line>
            </w:pict>
          </mc:Fallback>
        </mc:AlternateContent>
      </w:r>
      <w:r>
        <w:rPr>
          <w:rFonts w:ascii="Times New Roman" w:hAnsi="Times New Roman"/>
        </w:rPr>
        <w:t xml:space="preserve"> </w:t>
      </w:r>
    </w:p>
    <w:p w14:paraId="369E5BCB">
      <w:pPr>
        <w:pStyle w:val="37"/>
        <w:rPr>
          <w:rFonts w:ascii="Times New Roman"/>
        </w:rPr>
      </w:pPr>
    </w:p>
    <w:p w14:paraId="494D389D">
      <w:pPr>
        <w:pStyle w:val="25"/>
        <w:ind w:firstLine="420"/>
        <w:rPr>
          <w:rFonts w:ascii="Times New Roman" w:hAnsi="Times New Roman"/>
        </w:rPr>
        <w:sectPr>
          <w:headerReference r:id="rId7" w:type="first"/>
          <w:footerReference r:id="rId9" w:type="first"/>
          <w:headerReference r:id="rId6" w:type="default"/>
          <w:footerReference r:id="rId8" w:type="default"/>
          <w:pgSz w:w="11906" w:h="16838"/>
          <w:pgMar w:top="1418" w:right="1134" w:bottom="1134" w:left="1418" w:header="1418" w:footer="1134" w:gutter="0"/>
          <w:pgBorders>
            <w:top w:val="none" w:sz="0" w:space="0"/>
            <w:left w:val="none" w:sz="0" w:space="0"/>
            <w:bottom w:val="none" w:sz="0" w:space="0"/>
            <w:right w:val="none" w:sz="0" w:space="0"/>
          </w:pgBorders>
          <w:pgNumType w:fmt="upperRoman" w:start="1"/>
          <w:cols w:space="425" w:num="1"/>
          <w:titlePg/>
          <w:docGrid w:type="lines" w:linePitch="312" w:charSpace="0"/>
        </w:sectPr>
      </w:pPr>
    </w:p>
    <w:p w14:paraId="54209DC1">
      <w:pPr>
        <w:pStyle w:val="41"/>
        <w:shd w:val="clear" w:color="FFFFFF" w:fill="FFFFFF"/>
        <w:spacing w:line="240" w:lineRule="auto"/>
        <w:rPr>
          <w:rFonts w:hint="eastAsia"/>
        </w:rPr>
      </w:pPr>
      <w:bookmarkStart w:id="1" w:name="_Toc198644988"/>
      <w:bookmarkStart w:id="2" w:name="_Toc198645075"/>
      <w:bookmarkStart w:id="3" w:name="_Toc198646020"/>
      <w:r>
        <w:rPr>
          <w:rFonts w:hint="eastAsia"/>
        </w:rPr>
        <w:t>目　　次</w:t>
      </w:r>
      <w:bookmarkEnd w:id="1"/>
      <w:bookmarkEnd w:id="2"/>
      <w:bookmarkEnd w:id="3"/>
    </w:p>
    <w:p w14:paraId="42489A31">
      <w:pPr>
        <w:pStyle w:val="13"/>
        <w:tabs>
          <w:tab w:val="right" w:leader="dot" w:pos="9354"/>
          <w:tab w:val="clear" w:pos="9344"/>
        </w:tabs>
      </w:pPr>
      <w:r>
        <w:fldChar w:fldCharType="begin"/>
      </w:r>
      <w:r>
        <w:instrText xml:space="preserve"> TOC \o "1-3" \h \z \u </w:instrText>
      </w:r>
      <w:r>
        <w:fldChar w:fldCharType="separate"/>
      </w:r>
      <w:r>
        <w:fldChar w:fldCharType="begin"/>
      </w:r>
      <w:r>
        <w:instrText xml:space="preserve"> HYPERLINK \l _Toc4624 </w:instrText>
      </w:r>
      <w:r>
        <w:fldChar w:fldCharType="separate"/>
      </w:r>
      <w:r>
        <w:rPr>
          <w:rFonts w:hint="eastAsia"/>
        </w:rPr>
        <w:t>前</w:t>
      </w:r>
      <w:r>
        <w:rPr>
          <w:rFonts w:hAnsi="黑体"/>
        </w:rPr>
        <w:t>  </w:t>
      </w:r>
      <w:r>
        <w:rPr>
          <w:rFonts w:hint="eastAsia"/>
        </w:rPr>
        <w:t>言</w:t>
      </w:r>
      <w:r>
        <w:tab/>
      </w:r>
      <w:r>
        <w:fldChar w:fldCharType="begin"/>
      </w:r>
      <w:r>
        <w:instrText xml:space="preserve"> PAGEREF _Toc4624 \h </w:instrText>
      </w:r>
      <w:r>
        <w:fldChar w:fldCharType="separate"/>
      </w:r>
      <w:r>
        <w:t>II</w:t>
      </w:r>
      <w:r>
        <w:fldChar w:fldCharType="end"/>
      </w:r>
      <w:r>
        <w:fldChar w:fldCharType="end"/>
      </w:r>
    </w:p>
    <w:p w14:paraId="79F27C10">
      <w:pPr>
        <w:pStyle w:val="13"/>
        <w:tabs>
          <w:tab w:val="right" w:leader="dot" w:pos="9354"/>
          <w:tab w:val="clear" w:pos="9344"/>
        </w:tabs>
      </w:pPr>
      <w:r>
        <w:fldChar w:fldCharType="begin"/>
      </w:r>
      <w:r>
        <w:instrText xml:space="preserve"> HYPERLINK \l _Toc17680 </w:instrText>
      </w:r>
      <w:r>
        <w:fldChar w:fldCharType="separate"/>
      </w:r>
      <w:r>
        <w:rPr>
          <w:rFonts w:hint="eastAsia"/>
        </w:rPr>
        <w:t>1　范围</w:t>
      </w:r>
      <w:r>
        <w:tab/>
      </w:r>
      <w:r>
        <w:fldChar w:fldCharType="begin"/>
      </w:r>
      <w:r>
        <w:instrText xml:space="preserve"> PAGEREF _Toc17680 \h </w:instrText>
      </w:r>
      <w:r>
        <w:fldChar w:fldCharType="separate"/>
      </w:r>
      <w:r>
        <w:t>1</w:t>
      </w:r>
      <w:r>
        <w:fldChar w:fldCharType="end"/>
      </w:r>
      <w:r>
        <w:fldChar w:fldCharType="end"/>
      </w:r>
    </w:p>
    <w:p w14:paraId="16D53841">
      <w:pPr>
        <w:pStyle w:val="13"/>
        <w:tabs>
          <w:tab w:val="right" w:leader="dot" w:pos="9354"/>
          <w:tab w:val="clear" w:pos="9344"/>
        </w:tabs>
      </w:pPr>
      <w:r>
        <w:fldChar w:fldCharType="begin"/>
      </w:r>
      <w:r>
        <w:instrText xml:space="preserve"> HYPERLINK \l _Toc12643 </w:instrText>
      </w:r>
      <w:r>
        <w:fldChar w:fldCharType="separate"/>
      </w:r>
      <w:r>
        <w:rPr>
          <w:rFonts w:hint="eastAsia"/>
        </w:rPr>
        <w:t>2　规范性引用文件</w:t>
      </w:r>
      <w:r>
        <w:tab/>
      </w:r>
      <w:r>
        <w:fldChar w:fldCharType="begin"/>
      </w:r>
      <w:r>
        <w:instrText xml:space="preserve"> PAGEREF _Toc12643 \h </w:instrText>
      </w:r>
      <w:r>
        <w:fldChar w:fldCharType="separate"/>
      </w:r>
      <w:r>
        <w:t>1</w:t>
      </w:r>
      <w:r>
        <w:fldChar w:fldCharType="end"/>
      </w:r>
      <w:r>
        <w:fldChar w:fldCharType="end"/>
      </w:r>
    </w:p>
    <w:p w14:paraId="7491DE2D">
      <w:pPr>
        <w:pStyle w:val="13"/>
        <w:tabs>
          <w:tab w:val="right" w:leader="dot" w:pos="9354"/>
          <w:tab w:val="clear" w:pos="9344"/>
        </w:tabs>
      </w:pPr>
      <w:r>
        <w:fldChar w:fldCharType="begin"/>
      </w:r>
      <w:r>
        <w:instrText xml:space="preserve"> HYPERLINK \l _Toc14691 </w:instrText>
      </w:r>
      <w:r>
        <w:fldChar w:fldCharType="separate"/>
      </w:r>
      <w:r>
        <w:rPr>
          <w:rFonts w:hint="eastAsia"/>
        </w:rPr>
        <w:t>3　术语和定义</w:t>
      </w:r>
      <w:r>
        <w:tab/>
      </w:r>
      <w:r>
        <w:fldChar w:fldCharType="begin"/>
      </w:r>
      <w:r>
        <w:instrText xml:space="preserve"> PAGEREF _Toc14691 \h </w:instrText>
      </w:r>
      <w:r>
        <w:fldChar w:fldCharType="separate"/>
      </w:r>
      <w:r>
        <w:t>1</w:t>
      </w:r>
      <w:r>
        <w:fldChar w:fldCharType="end"/>
      </w:r>
      <w:r>
        <w:fldChar w:fldCharType="end"/>
      </w:r>
    </w:p>
    <w:p w14:paraId="6E28F963">
      <w:pPr>
        <w:pStyle w:val="13"/>
        <w:tabs>
          <w:tab w:val="right" w:leader="dot" w:pos="9354"/>
          <w:tab w:val="clear" w:pos="9344"/>
        </w:tabs>
      </w:pPr>
      <w:r>
        <w:fldChar w:fldCharType="begin"/>
      </w:r>
      <w:r>
        <w:instrText xml:space="preserve"> HYPERLINK \l _Toc25514 </w:instrText>
      </w:r>
      <w:r>
        <w:fldChar w:fldCharType="separate"/>
      </w:r>
      <w:r>
        <w:rPr>
          <w:rFonts w:hint="eastAsia"/>
        </w:rPr>
        <w:t>4　试验要求</w:t>
      </w:r>
      <w:r>
        <w:tab/>
      </w:r>
      <w:r>
        <w:fldChar w:fldCharType="begin"/>
      </w:r>
      <w:r>
        <w:instrText xml:space="preserve"> PAGEREF _Toc25514 \h </w:instrText>
      </w:r>
      <w:r>
        <w:fldChar w:fldCharType="separate"/>
      </w:r>
      <w:r>
        <w:t>2</w:t>
      </w:r>
      <w:r>
        <w:fldChar w:fldCharType="end"/>
      </w:r>
      <w:r>
        <w:fldChar w:fldCharType="end"/>
      </w:r>
    </w:p>
    <w:p w14:paraId="168C8989">
      <w:pPr>
        <w:pStyle w:val="14"/>
        <w:tabs>
          <w:tab w:val="right" w:leader="dot" w:pos="9354"/>
        </w:tabs>
      </w:pPr>
      <w:r>
        <w:fldChar w:fldCharType="begin"/>
      </w:r>
      <w:r>
        <w:instrText xml:space="preserve"> HYPERLINK \l _Toc25202 </w:instrText>
      </w:r>
      <w:r>
        <w:fldChar w:fldCharType="separate"/>
      </w:r>
      <w:r>
        <w:rPr>
          <w:rFonts w:hint="eastAsia"/>
        </w:rPr>
        <w:t>4.1　不同海拔下试验温度推荐值</w:t>
      </w:r>
      <w:r>
        <w:tab/>
      </w:r>
      <w:r>
        <w:fldChar w:fldCharType="begin"/>
      </w:r>
      <w:r>
        <w:instrText xml:space="preserve"> PAGEREF _Toc25202 \h </w:instrText>
      </w:r>
      <w:r>
        <w:fldChar w:fldCharType="separate"/>
      </w:r>
      <w:r>
        <w:t>2</w:t>
      </w:r>
      <w:r>
        <w:fldChar w:fldCharType="end"/>
      </w:r>
      <w:r>
        <w:fldChar w:fldCharType="end"/>
      </w:r>
    </w:p>
    <w:p w14:paraId="0A2D147F">
      <w:pPr>
        <w:pStyle w:val="14"/>
        <w:tabs>
          <w:tab w:val="right" w:leader="dot" w:pos="9354"/>
        </w:tabs>
      </w:pPr>
      <w:r>
        <w:fldChar w:fldCharType="begin"/>
      </w:r>
      <w:r>
        <w:instrText xml:space="preserve"> HYPERLINK \l _Toc24564 </w:instrText>
      </w:r>
      <w:r>
        <w:fldChar w:fldCharType="separate"/>
      </w:r>
      <w:r>
        <w:rPr>
          <w:rFonts w:hint="eastAsia"/>
        </w:rPr>
        <w:t>4.2　燃料、润滑油、冷却液的要求</w:t>
      </w:r>
      <w:r>
        <w:tab/>
      </w:r>
      <w:r>
        <w:fldChar w:fldCharType="begin"/>
      </w:r>
      <w:r>
        <w:instrText xml:space="preserve"> PAGEREF _Toc24564 \h </w:instrText>
      </w:r>
      <w:r>
        <w:fldChar w:fldCharType="separate"/>
      </w:r>
      <w:r>
        <w:t>2</w:t>
      </w:r>
      <w:r>
        <w:fldChar w:fldCharType="end"/>
      </w:r>
      <w:r>
        <w:fldChar w:fldCharType="end"/>
      </w:r>
    </w:p>
    <w:p w14:paraId="5D0E6463">
      <w:pPr>
        <w:pStyle w:val="14"/>
        <w:tabs>
          <w:tab w:val="right" w:leader="dot" w:pos="9354"/>
        </w:tabs>
      </w:pPr>
      <w:r>
        <w:fldChar w:fldCharType="begin"/>
      </w:r>
      <w:r>
        <w:instrText xml:space="preserve"> HYPERLINK \l _Toc25042 </w:instrText>
      </w:r>
      <w:r>
        <w:fldChar w:fldCharType="separate"/>
      </w:r>
      <w:r>
        <w:rPr>
          <w:rFonts w:hint="eastAsia"/>
        </w:rPr>
        <w:t>4.3　蓄电池-起动电机系统</w:t>
      </w:r>
      <w:r>
        <w:tab/>
      </w:r>
      <w:r>
        <w:fldChar w:fldCharType="begin"/>
      </w:r>
      <w:r>
        <w:instrText xml:space="preserve"> PAGEREF _Toc25042 \h </w:instrText>
      </w:r>
      <w:r>
        <w:fldChar w:fldCharType="separate"/>
      </w:r>
      <w:r>
        <w:t>2</w:t>
      </w:r>
      <w:r>
        <w:fldChar w:fldCharType="end"/>
      </w:r>
      <w:r>
        <w:fldChar w:fldCharType="end"/>
      </w:r>
    </w:p>
    <w:p w14:paraId="5AF248E8">
      <w:pPr>
        <w:pStyle w:val="14"/>
        <w:tabs>
          <w:tab w:val="right" w:leader="dot" w:pos="9354"/>
        </w:tabs>
      </w:pPr>
      <w:r>
        <w:fldChar w:fldCharType="begin"/>
      </w:r>
      <w:r>
        <w:instrText xml:space="preserve"> HYPERLINK \l _Toc30009 </w:instrText>
      </w:r>
      <w:r>
        <w:fldChar w:fldCharType="separate"/>
      </w:r>
      <w:r>
        <w:rPr>
          <w:rFonts w:hint="eastAsia"/>
        </w:rPr>
        <w:t>4.4　起动辅助措施</w:t>
      </w:r>
      <w:r>
        <w:tab/>
      </w:r>
      <w:r>
        <w:fldChar w:fldCharType="begin"/>
      </w:r>
      <w:r>
        <w:instrText xml:space="preserve"> PAGEREF _Toc30009 \h </w:instrText>
      </w:r>
      <w:r>
        <w:fldChar w:fldCharType="separate"/>
      </w:r>
      <w:r>
        <w:t>2</w:t>
      </w:r>
      <w:r>
        <w:fldChar w:fldCharType="end"/>
      </w:r>
      <w:r>
        <w:fldChar w:fldCharType="end"/>
      </w:r>
    </w:p>
    <w:p w14:paraId="0EF054A2">
      <w:pPr>
        <w:pStyle w:val="14"/>
        <w:tabs>
          <w:tab w:val="right" w:leader="dot" w:pos="9354"/>
        </w:tabs>
      </w:pPr>
      <w:r>
        <w:fldChar w:fldCharType="begin"/>
      </w:r>
      <w:r>
        <w:instrText xml:space="preserve"> HYPERLINK \l _Toc5996 </w:instrText>
      </w:r>
      <w:r>
        <w:fldChar w:fldCharType="separate"/>
      </w:r>
      <w:r>
        <w:rPr>
          <w:rFonts w:hint="eastAsia"/>
        </w:rPr>
        <w:t>4.5　发动机冷起动测试设备要求</w:t>
      </w:r>
      <w:r>
        <w:tab/>
      </w:r>
      <w:r>
        <w:fldChar w:fldCharType="begin"/>
      </w:r>
      <w:r>
        <w:instrText xml:space="preserve"> PAGEREF _Toc5996 \h </w:instrText>
      </w:r>
      <w:r>
        <w:fldChar w:fldCharType="separate"/>
      </w:r>
      <w:r>
        <w:t>2</w:t>
      </w:r>
      <w:r>
        <w:fldChar w:fldCharType="end"/>
      </w:r>
      <w:r>
        <w:fldChar w:fldCharType="end"/>
      </w:r>
    </w:p>
    <w:p w14:paraId="5B633105">
      <w:pPr>
        <w:pStyle w:val="14"/>
        <w:tabs>
          <w:tab w:val="right" w:leader="dot" w:pos="9354"/>
        </w:tabs>
      </w:pPr>
      <w:r>
        <w:fldChar w:fldCharType="begin"/>
      </w:r>
      <w:r>
        <w:instrText xml:space="preserve"> HYPERLINK \l _Toc25936 </w:instrText>
      </w:r>
      <w:r>
        <w:fldChar w:fldCharType="separate"/>
      </w:r>
      <w:r>
        <w:rPr>
          <w:rFonts w:hint="eastAsia"/>
        </w:rPr>
        <w:t>4.6　起动辅助措施</w:t>
      </w:r>
      <w:r>
        <w:tab/>
      </w:r>
      <w:r>
        <w:fldChar w:fldCharType="begin"/>
      </w:r>
      <w:r>
        <w:instrText xml:space="preserve"> PAGEREF _Toc25936 \h </w:instrText>
      </w:r>
      <w:r>
        <w:fldChar w:fldCharType="separate"/>
      </w:r>
      <w:r>
        <w:t>3</w:t>
      </w:r>
      <w:r>
        <w:fldChar w:fldCharType="end"/>
      </w:r>
      <w:r>
        <w:fldChar w:fldCharType="end"/>
      </w:r>
    </w:p>
    <w:p w14:paraId="7EF38A98">
      <w:pPr>
        <w:pStyle w:val="13"/>
        <w:tabs>
          <w:tab w:val="right" w:leader="dot" w:pos="9354"/>
          <w:tab w:val="clear" w:pos="9344"/>
        </w:tabs>
      </w:pPr>
      <w:r>
        <w:fldChar w:fldCharType="begin"/>
      </w:r>
      <w:r>
        <w:instrText xml:space="preserve"> HYPERLINK \l _Toc16671 </w:instrText>
      </w:r>
      <w:r>
        <w:fldChar w:fldCharType="separate"/>
      </w:r>
      <w:r>
        <w:rPr>
          <w:rFonts w:hint="eastAsia"/>
        </w:rPr>
        <w:t>5　试验方法</w:t>
      </w:r>
      <w:r>
        <w:tab/>
      </w:r>
      <w:r>
        <w:fldChar w:fldCharType="begin"/>
      </w:r>
      <w:r>
        <w:instrText xml:space="preserve"> PAGEREF _Toc16671 \h </w:instrText>
      </w:r>
      <w:r>
        <w:fldChar w:fldCharType="separate"/>
      </w:r>
      <w:r>
        <w:t>3</w:t>
      </w:r>
      <w:r>
        <w:fldChar w:fldCharType="end"/>
      </w:r>
      <w:r>
        <w:fldChar w:fldCharType="end"/>
      </w:r>
    </w:p>
    <w:p w14:paraId="1BC2025B">
      <w:pPr>
        <w:pStyle w:val="14"/>
        <w:tabs>
          <w:tab w:val="right" w:leader="dot" w:pos="9354"/>
        </w:tabs>
      </w:pPr>
      <w:r>
        <w:fldChar w:fldCharType="begin"/>
      </w:r>
      <w:r>
        <w:instrText xml:space="preserve"> HYPERLINK \l _Toc29805 </w:instrText>
      </w:r>
      <w:r>
        <w:fldChar w:fldCharType="separate"/>
      </w:r>
      <w:r>
        <w:rPr>
          <w:rFonts w:hint="eastAsia"/>
        </w:rPr>
        <w:t>5.1　试验前准备</w:t>
      </w:r>
      <w:r>
        <w:tab/>
      </w:r>
      <w:r>
        <w:fldChar w:fldCharType="begin"/>
      </w:r>
      <w:r>
        <w:instrText xml:space="preserve"> PAGEREF _Toc29805 \h </w:instrText>
      </w:r>
      <w:r>
        <w:fldChar w:fldCharType="separate"/>
      </w:r>
      <w:r>
        <w:t>3</w:t>
      </w:r>
      <w:r>
        <w:fldChar w:fldCharType="end"/>
      </w:r>
      <w:r>
        <w:fldChar w:fldCharType="end"/>
      </w:r>
    </w:p>
    <w:p w14:paraId="4331AD04">
      <w:pPr>
        <w:pStyle w:val="14"/>
        <w:tabs>
          <w:tab w:val="right" w:leader="dot" w:pos="9354"/>
        </w:tabs>
      </w:pPr>
      <w:r>
        <w:fldChar w:fldCharType="begin"/>
      </w:r>
      <w:r>
        <w:instrText xml:space="preserve"> HYPERLINK \l _Toc192 </w:instrText>
      </w:r>
      <w:r>
        <w:fldChar w:fldCharType="separate"/>
      </w:r>
      <w:r>
        <w:rPr>
          <w:rFonts w:hint="eastAsia"/>
        </w:rPr>
        <w:t>5.2　数据记录要求</w:t>
      </w:r>
      <w:r>
        <w:tab/>
      </w:r>
      <w:r>
        <w:fldChar w:fldCharType="begin"/>
      </w:r>
      <w:r>
        <w:instrText xml:space="preserve"> PAGEREF _Toc192 \h </w:instrText>
      </w:r>
      <w:r>
        <w:fldChar w:fldCharType="separate"/>
      </w:r>
      <w:r>
        <w:t>3</w:t>
      </w:r>
      <w:r>
        <w:fldChar w:fldCharType="end"/>
      </w:r>
      <w:r>
        <w:fldChar w:fldCharType="end"/>
      </w:r>
    </w:p>
    <w:p w14:paraId="115F61F6">
      <w:pPr>
        <w:pStyle w:val="14"/>
        <w:tabs>
          <w:tab w:val="right" w:leader="dot" w:pos="9354"/>
        </w:tabs>
      </w:pPr>
      <w:r>
        <w:fldChar w:fldCharType="begin"/>
      </w:r>
      <w:r>
        <w:instrText xml:space="preserve"> HYPERLINK \l _Toc14785 </w:instrText>
      </w:r>
      <w:r>
        <w:fldChar w:fldCharType="separate"/>
      </w:r>
      <w:r>
        <w:rPr>
          <w:rFonts w:hint="eastAsia"/>
        </w:rPr>
        <w:t>5.3　发动机预处理</w:t>
      </w:r>
      <w:r>
        <w:tab/>
      </w:r>
      <w:r>
        <w:fldChar w:fldCharType="begin"/>
      </w:r>
      <w:r>
        <w:instrText xml:space="preserve"> PAGEREF _Toc14785 \h </w:instrText>
      </w:r>
      <w:r>
        <w:fldChar w:fldCharType="separate"/>
      </w:r>
      <w:r>
        <w:t>3</w:t>
      </w:r>
      <w:r>
        <w:fldChar w:fldCharType="end"/>
      </w:r>
      <w:r>
        <w:fldChar w:fldCharType="end"/>
      </w:r>
    </w:p>
    <w:p w14:paraId="03CF0145">
      <w:pPr>
        <w:pStyle w:val="14"/>
        <w:tabs>
          <w:tab w:val="right" w:leader="dot" w:pos="9354"/>
        </w:tabs>
      </w:pPr>
      <w:r>
        <w:fldChar w:fldCharType="begin"/>
      </w:r>
      <w:r>
        <w:instrText xml:space="preserve"> HYPERLINK \l _Toc17087 </w:instrText>
      </w:r>
      <w:r>
        <w:fldChar w:fldCharType="separate"/>
      </w:r>
      <w:r>
        <w:rPr>
          <w:rFonts w:hint="eastAsia"/>
        </w:rPr>
        <w:t>5.4　试验程序</w:t>
      </w:r>
      <w:r>
        <w:tab/>
      </w:r>
      <w:r>
        <w:fldChar w:fldCharType="begin"/>
      </w:r>
      <w:r>
        <w:instrText xml:space="preserve"> PAGEREF _Toc17087 \h </w:instrText>
      </w:r>
      <w:r>
        <w:fldChar w:fldCharType="separate"/>
      </w:r>
      <w:r>
        <w:t>3</w:t>
      </w:r>
      <w:r>
        <w:fldChar w:fldCharType="end"/>
      </w:r>
      <w:r>
        <w:fldChar w:fldCharType="end"/>
      </w:r>
    </w:p>
    <w:p w14:paraId="076A7A20">
      <w:pPr>
        <w:pStyle w:val="10"/>
        <w:tabs>
          <w:tab w:val="right" w:leader="dot" w:pos="9354"/>
        </w:tabs>
      </w:pPr>
      <w:r>
        <w:fldChar w:fldCharType="begin"/>
      </w:r>
      <w:r>
        <w:instrText xml:space="preserve"> HYPERLINK \l _Toc25077 </w:instrText>
      </w:r>
      <w:r>
        <w:fldChar w:fldCharType="separate"/>
      </w:r>
      <w:r>
        <w:rPr>
          <w:rFonts w:hint="eastAsia"/>
        </w:rPr>
        <w:t>5.4.1　高原冷起动测试</w:t>
      </w:r>
      <w:r>
        <w:tab/>
      </w:r>
      <w:r>
        <w:fldChar w:fldCharType="begin"/>
      </w:r>
      <w:r>
        <w:instrText xml:space="preserve"> PAGEREF _Toc25077 \h </w:instrText>
      </w:r>
      <w:r>
        <w:fldChar w:fldCharType="separate"/>
      </w:r>
      <w:r>
        <w:t>3</w:t>
      </w:r>
      <w:r>
        <w:fldChar w:fldCharType="end"/>
      </w:r>
      <w:r>
        <w:fldChar w:fldCharType="end"/>
      </w:r>
    </w:p>
    <w:p w14:paraId="3892D546">
      <w:pPr>
        <w:pStyle w:val="10"/>
        <w:tabs>
          <w:tab w:val="right" w:leader="dot" w:pos="9354"/>
        </w:tabs>
      </w:pPr>
      <w:r>
        <w:fldChar w:fldCharType="begin"/>
      </w:r>
      <w:r>
        <w:instrText xml:space="preserve"> HYPERLINK \l _Toc4913 </w:instrText>
      </w:r>
      <w:r>
        <w:fldChar w:fldCharType="separate"/>
      </w:r>
      <w:r>
        <w:rPr>
          <w:rFonts w:hint="eastAsia"/>
        </w:rPr>
        <w:t>5.4.2　高原冷起动加载测试</w:t>
      </w:r>
      <w:r>
        <w:tab/>
      </w:r>
      <w:r>
        <w:fldChar w:fldCharType="begin"/>
      </w:r>
      <w:r>
        <w:instrText xml:space="preserve"> PAGEREF _Toc4913 \h </w:instrText>
      </w:r>
      <w:r>
        <w:fldChar w:fldCharType="separate"/>
      </w:r>
      <w:r>
        <w:t>3</w:t>
      </w:r>
      <w:r>
        <w:fldChar w:fldCharType="end"/>
      </w:r>
      <w:r>
        <w:fldChar w:fldCharType="end"/>
      </w:r>
    </w:p>
    <w:p w14:paraId="65515B9F">
      <w:pPr>
        <w:pStyle w:val="14"/>
        <w:tabs>
          <w:tab w:val="right" w:leader="dot" w:pos="9354"/>
        </w:tabs>
      </w:pPr>
      <w:r>
        <w:fldChar w:fldCharType="begin"/>
      </w:r>
      <w:r>
        <w:instrText xml:space="preserve"> HYPERLINK \l _Toc23186 </w:instrText>
      </w:r>
      <w:r>
        <w:fldChar w:fldCharType="separate"/>
      </w:r>
      <w:r>
        <w:rPr>
          <w:rFonts w:hint="eastAsia"/>
        </w:rPr>
        <w:t>5.5　数据处理及评价</w:t>
      </w:r>
      <w:r>
        <w:tab/>
      </w:r>
      <w:r>
        <w:fldChar w:fldCharType="begin"/>
      </w:r>
      <w:r>
        <w:instrText xml:space="preserve"> PAGEREF _Toc23186 \h </w:instrText>
      </w:r>
      <w:r>
        <w:fldChar w:fldCharType="separate"/>
      </w:r>
      <w:r>
        <w:t>4</w:t>
      </w:r>
      <w:r>
        <w:fldChar w:fldCharType="end"/>
      </w:r>
      <w:r>
        <w:fldChar w:fldCharType="end"/>
      </w:r>
    </w:p>
    <w:p w14:paraId="289DEBEA">
      <w:pPr>
        <w:pStyle w:val="13"/>
        <w:tabs>
          <w:tab w:val="right" w:leader="dot" w:pos="9354"/>
          <w:tab w:val="clear" w:pos="934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_Toc7201 </w:instrText>
      </w:r>
      <w:r>
        <w:rPr>
          <w:rFonts w:hint="eastAsia" w:ascii="宋体" w:hAnsi="宋体" w:eastAsia="宋体" w:cs="宋体"/>
        </w:rPr>
        <w:fldChar w:fldCharType="separate"/>
      </w:r>
      <w:r>
        <w:rPr>
          <w:rFonts w:hint="eastAsia" w:ascii="宋体" w:hAnsi="宋体" w:eastAsia="宋体" w:cs="宋体"/>
        </w:rPr>
        <w:t>附录A</w:t>
      </w:r>
      <w:r>
        <w:rPr>
          <w:rFonts w:hint="eastAsia" w:ascii="宋体" w:hAnsi="宋体" w:eastAsia="宋体" w:cs="宋体"/>
          <w:szCs w:val="21"/>
        </w:rPr>
        <w:t>（规范性） 注意事项</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_Toc7201 \h </w:instrText>
      </w:r>
      <w:r>
        <w:rPr>
          <w:rFonts w:hint="eastAsia" w:ascii="宋体" w:hAnsi="宋体" w:eastAsia="宋体" w:cs="宋体"/>
        </w:rPr>
        <w:fldChar w:fldCharType="separate"/>
      </w:r>
      <w:r>
        <w:rPr>
          <w:rFonts w:hint="eastAsia" w:ascii="宋体" w:hAnsi="宋体" w:eastAsia="宋体" w:cs="宋体"/>
        </w:rPr>
        <w:t>5</w:t>
      </w:r>
      <w:r>
        <w:rPr>
          <w:rFonts w:hint="eastAsia" w:ascii="宋体" w:hAnsi="宋体" w:eastAsia="宋体" w:cs="宋体"/>
        </w:rPr>
        <w:fldChar w:fldCharType="end"/>
      </w:r>
      <w:r>
        <w:rPr>
          <w:rFonts w:hint="eastAsia" w:ascii="宋体" w:hAnsi="宋体" w:eastAsia="宋体" w:cs="宋体"/>
        </w:rPr>
        <w:fldChar w:fldCharType="end"/>
      </w:r>
    </w:p>
    <w:p w14:paraId="7017D138">
      <w:pPr>
        <w:pStyle w:val="13"/>
        <w:tabs>
          <w:tab w:val="right" w:leader="dot" w:pos="9354"/>
          <w:tab w:val="clear" w:pos="934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_Toc21909 </w:instrText>
      </w:r>
      <w:r>
        <w:rPr>
          <w:rFonts w:hint="eastAsia" w:ascii="宋体" w:hAnsi="宋体" w:eastAsia="宋体" w:cs="宋体"/>
        </w:rPr>
        <w:fldChar w:fldCharType="separate"/>
      </w:r>
      <w:r>
        <w:rPr>
          <w:rFonts w:hint="eastAsia" w:ascii="宋体" w:hAnsi="宋体" w:eastAsia="宋体" w:cs="宋体"/>
        </w:rPr>
        <w:t>附录B</w:t>
      </w:r>
      <w:r>
        <w:rPr>
          <w:rFonts w:hint="eastAsia" w:ascii="宋体" w:hAnsi="宋体" w:eastAsia="宋体" w:cs="宋体"/>
          <w:szCs w:val="21"/>
        </w:rPr>
        <w:t>（资料性） 冷起动液压加载装置技术要求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_Toc21909 \h </w:instrText>
      </w:r>
      <w:r>
        <w:rPr>
          <w:rFonts w:hint="eastAsia" w:ascii="宋体" w:hAnsi="宋体" w:eastAsia="宋体" w:cs="宋体"/>
        </w:rPr>
        <w:fldChar w:fldCharType="separate"/>
      </w:r>
      <w:r>
        <w:rPr>
          <w:rFonts w:hint="eastAsia" w:ascii="宋体" w:hAnsi="宋体" w:eastAsia="宋体" w:cs="宋体"/>
        </w:rPr>
        <w:t>6</w:t>
      </w:r>
      <w:r>
        <w:rPr>
          <w:rFonts w:hint="eastAsia" w:ascii="宋体" w:hAnsi="宋体" w:eastAsia="宋体" w:cs="宋体"/>
        </w:rPr>
        <w:fldChar w:fldCharType="end"/>
      </w:r>
      <w:r>
        <w:rPr>
          <w:rFonts w:hint="eastAsia" w:ascii="宋体" w:hAnsi="宋体" w:eastAsia="宋体" w:cs="宋体"/>
        </w:rPr>
        <w:fldChar w:fldCharType="end"/>
      </w:r>
    </w:p>
    <w:p w14:paraId="3F5C7E87">
      <w:pPr>
        <w:pStyle w:val="13"/>
        <w:tabs>
          <w:tab w:val="right" w:leader="dot" w:pos="9354"/>
          <w:tab w:val="clear" w:pos="9344"/>
        </w:tabs>
      </w:pPr>
      <w:r>
        <w:rPr>
          <w:rFonts w:hint="eastAsia" w:ascii="宋体" w:hAnsi="宋体" w:eastAsia="宋体" w:cs="宋体"/>
        </w:rPr>
        <w:fldChar w:fldCharType="begin"/>
      </w:r>
      <w:r>
        <w:rPr>
          <w:rFonts w:hint="eastAsia" w:ascii="宋体" w:hAnsi="宋体" w:eastAsia="宋体" w:cs="宋体"/>
        </w:rPr>
        <w:instrText xml:space="preserve"> HYPERLINK \l _Toc8004 </w:instrText>
      </w:r>
      <w:r>
        <w:rPr>
          <w:rFonts w:hint="eastAsia" w:ascii="宋体" w:hAnsi="宋体" w:eastAsia="宋体" w:cs="宋体"/>
        </w:rPr>
        <w:fldChar w:fldCharType="separate"/>
      </w:r>
      <w:r>
        <w:rPr>
          <w:rFonts w:hint="eastAsia" w:ascii="宋体" w:hAnsi="宋体" w:eastAsia="宋体" w:cs="宋体"/>
        </w:rPr>
        <w:t>附录C</w:t>
      </w:r>
      <w:r>
        <w:rPr>
          <w:rFonts w:hint="eastAsia" w:ascii="宋体" w:hAnsi="宋体" w:eastAsia="宋体" w:cs="宋体"/>
          <w:szCs w:val="21"/>
        </w:rPr>
        <w:t>（规范性） 试验结果汇总表</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_Toc8004 \h </w:instrText>
      </w:r>
      <w:r>
        <w:rPr>
          <w:rFonts w:hint="eastAsia" w:ascii="宋体" w:hAnsi="宋体" w:eastAsia="宋体" w:cs="宋体"/>
        </w:rPr>
        <w:fldChar w:fldCharType="separate"/>
      </w:r>
      <w:r>
        <w:rPr>
          <w:rFonts w:hint="eastAsia" w:ascii="宋体" w:hAnsi="宋体" w:eastAsia="宋体" w:cs="宋体"/>
        </w:rPr>
        <w:t>8</w:t>
      </w:r>
      <w:r>
        <w:rPr>
          <w:rFonts w:hint="eastAsia" w:ascii="宋体" w:hAnsi="宋体" w:eastAsia="宋体" w:cs="宋体"/>
        </w:rPr>
        <w:fldChar w:fldCharType="end"/>
      </w:r>
      <w:r>
        <w:rPr>
          <w:rFonts w:hint="eastAsia" w:ascii="宋体" w:hAnsi="宋体" w:eastAsia="宋体" w:cs="宋体"/>
        </w:rPr>
        <w:fldChar w:fldCharType="end"/>
      </w:r>
    </w:p>
    <w:p w14:paraId="2675072D">
      <w:pPr>
        <w:pStyle w:val="13"/>
      </w:pPr>
      <w:r>
        <w:fldChar w:fldCharType="end"/>
      </w:r>
      <w:bookmarkStart w:id="4" w:name="_Toc17101"/>
      <w:bookmarkStart w:id="5" w:name="_Toc17684"/>
      <w:bookmarkStart w:id="6" w:name="_Toc4418"/>
      <w:bookmarkStart w:id="7" w:name="_Toc198733056"/>
    </w:p>
    <w:p w14:paraId="2E02AD76">
      <w:pPr>
        <w:pStyle w:val="13"/>
      </w:pPr>
    </w:p>
    <w:p w14:paraId="64C18C70">
      <w:pPr>
        <w:pStyle w:val="13"/>
      </w:pPr>
    </w:p>
    <w:p w14:paraId="2E05BC25">
      <w:pPr>
        <w:pStyle w:val="13"/>
      </w:pPr>
    </w:p>
    <w:bookmarkEnd w:id="4"/>
    <w:bookmarkEnd w:id="5"/>
    <w:bookmarkEnd w:id="6"/>
    <w:bookmarkEnd w:id="7"/>
    <w:p w14:paraId="11F755D1">
      <w:pPr>
        <w:pStyle w:val="37"/>
        <w:shd w:val="clear" w:color="FFFFFF" w:fill="FFFFFF"/>
        <w:spacing w:before="851"/>
        <w:rPr>
          <w:rFonts w:hint="eastAsia" w:ascii="黑体" w:hAnsi="Times New Roman" w:eastAsia="黑体" w:cs="Times New Roman"/>
          <w:sz w:val="32"/>
          <w:lang w:val="en-US" w:eastAsia="zh-CN" w:bidi="ar-SA"/>
        </w:rPr>
      </w:pPr>
      <w:bookmarkStart w:id="8" w:name="_Toc4624"/>
      <w:r>
        <w:rPr>
          <w:rFonts w:hint="eastAsia"/>
        </w:rPr>
        <w:t>前</w:t>
      </w:r>
      <w:r>
        <w:rPr>
          <w:rFonts w:hAnsi="黑体"/>
        </w:rPr>
        <w:t>  </w:t>
      </w:r>
      <w:r>
        <w:rPr>
          <w:rFonts w:hint="eastAsia"/>
        </w:rPr>
        <w:t>言</w:t>
      </w:r>
      <w:bookmarkEnd w:id="8"/>
    </w:p>
    <w:p w14:paraId="3C2BF8C7">
      <w:pPr>
        <w:pStyle w:val="25"/>
        <w:ind w:firstLine="420"/>
      </w:pPr>
      <w:r>
        <w:t>本文件按照GB/T 1.1—2020《标准化工作导则 第1部分：标准化文件的结构和起草规则》起草。</w:t>
      </w:r>
    </w:p>
    <w:p w14:paraId="088CF945">
      <w:pPr>
        <w:pStyle w:val="25"/>
        <w:ind w:firstLine="420"/>
      </w:pPr>
      <w:r>
        <w:t>请注意本文件的某些内容可能涉及专利，本文件的发布机构不承担识别专利的责任。</w:t>
      </w:r>
    </w:p>
    <w:p w14:paraId="04304594">
      <w:pPr>
        <w:pStyle w:val="25"/>
        <w:ind w:firstLine="420"/>
      </w:pPr>
      <w:r>
        <w:t>本文件由中国内燃机学会标准管理部提出。</w:t>
      </w:r>
    </w:p>
    <w:p w14:paraId="5543BD82">
      <w:pPr>
        <w:pStyle w:val="25"/>
        <w:ind w:firstLine="420"/>
      </w:pPr>
      <w:r>
        <w:t>本文件由中国内燃机学会归口。</w:t>
      </w:r>
    </w:p>
    <w:p w14:paraId="061F0C3E">
      <w:pPr>
        <w:pStyle w:val="25"/>
        <w:ind w:firstLine="420"/>
      </w:pPr>
      <w:r>
        <w:t>本文件起草单位：</w:t>
      </w:r>
      <w:bookmarkStart w:id="9" w:name="OLE_LINK5"/>
      <w:r>
        <w:t>中汽研汽车检验中心（昆明）有限公司、XXX。</w:t>
      </w:r>
    </w:p>
    <w:bookmarkEnd w:id="9"/>
    <w:p w14:paraId="5E9372A4">
      <w:pPr>
        <w:pStyle w:val="25"/>
        <w:ind w:firstLine="420"/>
      </w:pPr>
      <w:r>
        <w:t>本文件主要起草人：XX、XX、XX、XX。</w:t>
      </w:r>
    </w:p>
    <w:p w14:paraId="5A4472DF">
      <w:pPr>
        <w:pStyle w:val="25"/>
        <w:ind w:firstLine="420"/>
      </w:pPr>
      <w:r>
        <w:t>本文件于XXXX年首次发布。</w:t>
      </w:r>
    </w:p>
    <w:p w14:paraId="471FD144">
      <w:pPr>
        <w:pStyle w:val="25"/>
        <w:ind w:firstLine="420"/>
        <w:sectPr>
          <w:headerReference r:id="rId10" w:type="first"/>
          <w:footerReference r:id="rId12" w:type="first"/>
          <w:footerReference r:id="rId11" w:type="even"/>
          <w:pgSz w:w="11906" w:h="16838"/>
          <w:pgMar w:top="1418" w:right="1134" w:bottom="1134" w:left="1418" w:header="1134" w:footer="1134" w:gutter="0"/>
          <w:pgBorders>
            <w:top w:val="none" w:sz="0" w:space="0"/>
            <w:left w:val="none" w:sz="0" w:space="0"/>
            <w:bottom w:val="none" w:sz="0" w:space="0"/>
            <w:right w:val="none" w:sz="0" w:space="0"/>
          </w:pgBorders>
          <w:pgNumType w:fmt="upperRoman" w:start="1"/>
          <w:cols w:space="425" w:num="1"/>
          <w:titlePg/>
          <w:docGrid w:type="lines" w:linePitch="312" w:charSpace="0"/>
        </w:sectPr>
      </w:pPr>
    </w:p>
    <w:p w14:paraId="23CF283C">
      <w:pPr>
        <w:pStyle w:val="41"/>
        <w:shd w:val="clear" w:color="FFFFFF" w:fill="FFFFFF"/>
        <w:spacing w:line="240" w:lineRule="auto"/>
        <w:rPr>
          <w:rFonts w:ascii="Times New Roman" w:hAnsi="Times New Roman"/>
        </w:rPr>
      </w:pPr>
      <w:r>
        <w:rPr>
          <w:rFonts w:hint="eastAsia"/>
        </w:rPr>
        <w:t>发动机高原冷起动及加载试验方法</w:t>
      </w:r>
    </w:p>
    <w:p w14:paraId="239C1A89">
      <w:pPr>
        <w:pStyle w:val="25"/>
        <w:ind w:firstLine="420"/>
        <w:rPr>
          <w:rFonts w:hint="eastAsia"/>
        </w:rPr>
      </w:pPr>
      <w:bookmarkStart w:id="10" w:name="_Toc198733057"/>
      <w:bookmarkStart w:id="11" w:name="_Toc9493"/>
      <w:bookmarkStart w:id="12" w:name="_Toc6132"/>
      <w:bookmarkStart w:id="13" w:name="_Toc9307"/>
      <w:r>
        <w:rPr>
          <w:rFonts w:hint="eastAsia" w:ascii="黑体" w:hAnsi="黑体" w:eastAsia="黑体"/>
        </w:rPr>
        <w:t>警告：本标准的应用可能涉及到某些有危险性的材料、操作和设备，但未对与此有关的所有安全问题都提出建议。因此，用户在使用本标准之前有责任制定相应的安全和防护措施（见附录A），并确定相关规章限制的适用性。</w:t>
      </w:r>
    </w:p>
    <w:p w14:paraId="4519D782">
      <w:pPr>
        <w:pStyle w:val="39"/>
        <w:rPr>
          <w:rFonts w:hint="eastAsia"/>
        </w:rPr>
      </w:pPr>
      <w:bookmarkStart w:id="14" w:name="_Toc17680"/>
      <w:r>
        <w:rPr>
          <w:rFonts w:hint="eastAsia"/>
        </w:rPr>
        <w:t>1　范围</w:t>
      </w:r>
      <w:bookmarkEnd w:id="10"/>
      <w:bookmarkEnd w:id="11"/>
      <w:bookmarkEnd w:id="12"/>
      <w:bookmarkEnd w:id="13"/>
      <w:bookmarkEnd w:id="14"/>
    </w:p>
    <w:p w14:paraId="1853D0A1">
      <w:pPr>
        <w:pStyle w:val="25"/>
        <w:ind w:firstLine="420"/>
        <w:rPr>
          <w:rFonts w:hint="eastAsia"/>
        </w:rPr>
      </w:pPr>
      <w:r>
        <w:rPr>
          <w:rFonts w:hint="eastAsia"/>
        </w:rPr>
        <w:t>本文件规定了高海拔环境下发动机冷起动及起动加载的测试方法。</w:t>
      </w:r>
    </w:p>
    <w:p w14:paraId="152355BC">
      <w:pPr>
        <w:pStyle w:val="25"/>
        <w:ind w:firstLine="420"/>
        <w:rPr>
          <w:rFonts w:hint="eastAsia"/>
        </w:rPr>
      </w:pPr>
      <w:r>
        <w:rPr>
          <w:rFonts w:hint="eastAsia"/>
        </w:rPr>
        <w:t>本文件适用于往复式内燃机。</w:t>
      </w:r>
    </w:p>
    <w:p w14:paraId="7F0DCBC1">
      <w:pPr>
        <w:pStyle w:val="39"/>
        <w:rPr>
          <w:rFonts w:hint="eastAsia"/>
        </w:rPr>
      </w:pPr>
      <w:bookmarkStart w:id="15" w:name="_Toc26947"/>
      <w:bookmarkStart w:id="16" w:name="_Toc12643"/>
      <w:bookmarkStart w:id="17" w:name="_Toc31971"/>
      <w:bookmarkStart w:id="18" w:name="_Toc198733058"/>
      <w:bookmarkStart w:id="19" w:name="_Toc30262"/>
      <w:r>
        <w:rPr>
          <w:rFonts w:hint="eastAsia"/>
        </w:rPr>
        <w:t>2　规范性引用文件</w:t>
      </w:r>
      <w:bookmarkEnd w:id="15"/>
      <w:bookmarkEnd w:id="16"/>
      <w:bookmarkEnd w:id="17"/>
      <w:bookmarkEnd w:id="18"/>
      <w:bookmarkEnd w:id="19"/>
    </w:p>
    <w:p w14:paraId="175F9A39">
      <w:pPr>
        <w:pStyle w:val="25"/>
        <w:ind w:firstLine="420"/>
        <w:rPr>
          <w:rFonts w:hint="eastAsia"/>
        </w:rPr>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700A58E8">
      <w:pPr>
        <w:pStyle w:val="25"/>
        <w:ind w:firstLine="420"/>
        <w:rPr>
          <w:rFonts w:hint="eastAsia" w:cs="宋体"/>
          <w:szCs w:val="21"/>
        </w:rPr>
      </w:pPr>
      <w:r>
        <w:rPr>
          <w:rFonts w:hint="eastAsia" w:cs="宋体"/>
          <w:szCs w:val="21"/>
        </w:rPr>
        <w:t>GB/T 1147.2-2017 中小功率内燃机 第2部分：试验方法</w:t>
      </w:r>
    </w:p>
    <w:p w14:paraId="59EEECB7">
      <w:pPr>
        <w:pStyle w:val="25"/>
        <w:ind w:firstLine="420"/>
        <w:rPr>
          <w:rFonts w:hint="eastAsia" w:cs="宋体"/>
          <w:szCs w:val="21"/>
        </w:rPr>
      </w:pPr>
      <w:r>
        <w:rPr>
          <w:rFonts w:hint="eastAsia" w:cs="宋体"/>
          <w:szCs w:val="21"/>
        </w:rPr>
        <w:t>GB 11122-2006 柴油机油</w:t>
      </w:r>
    </w:p>
    <w:p w14:paraId="67DCB7DD">
      <w:pPr>
        <w:pStyle w:val="25"/>
        <w:ind w:firstLine="420"/>
        <w:rPr>
          <w:rFonts w:hint="eastAsia" w:cs="宋体"/>
          <w:szCs w:val="21"/>
        </w:rPr>
      </w:pPr>
      <w:r>
        <w:rPr>
          <w:rFonts w:hint="eastAsia" w:cs="宋体"/>
          <w:szCs w:val="21"/>
        </w:rPr>
        <w:t>GB/T 18297-2024 汽车发动机性能试验方法</w:t>
      </w:r>
    </w:p>
    <w:p w14:paraId="4D741E60">
      <w:pPr>
        <w:pStyle w:val="25"/>
        <w:ind w:firstLine="420"/>
        <w:rPr>
          <w:rFonts w:hint="eastAsia" w:cs="宋体"/>
          <w:szCs w:val="21"/>
        </w:rPr>
      </w:pPr>
      <w:r>
        <w:rPr>
          <w:rFonts w:hint="eastAsia" w:cs="宋体"/>
          <w:szCs w:val="21"/>
        </w:rPr>
        <w:t>GB 19147-2016 车用柴油</w:t>
      </w:r>
    </w:p>
    <w:p w14:paraId="39D58EC6">
      <w:pPr>
        <w:pStyle w:val="25"/>
        <w:ind w:firstLine="420"/>
        <w:rPr>
          <w:rFonts w:hint="eastAsia" w:cs="宋体"/>
          <w:szCs w:val="21"/>
        </w:rPr>
      </w:pPr>
      <w:r>
        <w:rPr>
          <w:rFonts w:hint="eastAsia" w:cs="宋体"/>
          <w:szCs w:val="21"/>
        </w:rPr>
        <w:t>GB/T 20969.1-2021 特殊环境条件  高原机械  第1部分：高原对内燃动力机械的要求</w:t>
      </w:r>
    </w:p>
    <w:p w14:paraId="4470806D">
      <w:pPr>
        <w:pStyle w:val="25"/>
        <w:ind w:firstLine="420"/>
        <w:rPr>
          <w:rFonts w:hint="eastAsia" w:cs="宋体"/>
          <w:szCs w:val="21"/>
        </w:rPr>
      </w:pPr>
      <w:r>
        <w:rPr>
          <w:rFonts w:hint="eastAsia" w:cs="宋体"/>
          <w:szCs w:val="21"/>
        </w:rPr>
        <w:t>GB/T 21404-2022 内燃机 发动机功率的确定和测量方法 一般要求</w:t>
      </w:r>
    </w:p>
    <w:p w14:paraId="35E42C37">
      <w:pPr>
        <w:pStyle w:val="25"/>
        <w:ind w:firstLine="420"/>
        <w:rPr>
          <w:rFonts w:hint="eastAsia" w:cs="宋体"/>
          <w:szCs w:val="21"/>
        </w:rPr>
      </w:pPr>
      <w:r>
        <w:rPr>
          <w:rFonts w:hint="eastAsia" w:cs="宋体"/>
          <w:szCs w:val="21"/>
        </w:rPr>
        <w:t>JB/T 5135-2013 通用小型汽油机 第2部分：台架性能试验方法</w:t>
      </w:r>
    </w:p>
    <w:p w14:paraId="25B49F34">
      <w:pPr>
        <w:pStyle w:val="25"/>
        <w:ind w:firstLine="420"/>
        <w:rPr>
          <w:rFonts w:hint="eastAsia" w:cs="宋体"/>
          <w:szCs w:val="21"/>
        </w:rPr>
      </w:pPr>
      <w:r>
        <w:rPr>
          <w:rFonts w:hint="eastAsia" w:cs="宋体"/>
          <w:szCs w:val="21"/>
        </w:rPr>
        <w:t>JB/T 13716-2019 柴油机高原环境性能试验方法</w:t>
      </w:r>
    </w:p>
    <w:p w14:paraId="03478F6B">
      <w:pPr>
        <w:pStyle w:val="25"/>
        <w:ind w:firstLine="420"/>
        <w:rPr>
          <w:rFonts w:hint="eastAsia" w:cs="宋体"/>
          <w:szCs w:val="21"/>
        </w:rPr>
      </w:pPr>
      <w:r>
        <w:rPr>
          <w:rFonts w:hint="eastAsia" w:cs="宋体"/>
          <w:szCs w:val="21"/>
        </w:rPr>
        <w:t>QC/T 731—2005 汽车用起动机技术条件</w:t>
      </w:r>
    </w:p>
    <w:p w14:paraId="4A6BBEF6">
      <w:pPr>
        <w:pStyle w:val="25"/>
        <w:ind w:firstLine="420"/>
        <w:rPr>
          <w:rFonts w:hint="eastAsia" w:cs="宋体"/>
          <w:szCs w:val="21"/>
        </w:rPr>
      </w:pPr>
      <w:r>
        <w:rPr>
          <w:rFonts w:hint="eastAsia" w:cs="宋体"/>
          <w:szCs w:val="21"/>
        </w:rPr>
        <w:t>TCSICE 002—2023 重型车用发动机污染物排放测量（高原）法</w:t>
      </w:r>
    </w:p>
    <w:p w14:paraId="3E91581F">
      <w:pPr>
        <w:pStyle w:val="39"/>
        <w:rPr>
          <w:rFonts w:hint="eastAsia"/>
        </w:rPr>
      </w:pPr>
      <w:bookmarkStart w:id="20" w:name="_Toc198733059"/>
      <w:bookmarkStart w:id="21" w:name="_Toc28282"/>
      <w:bookmarkStart w:id="22" w:name="_Toc32279"/>
      <w:bookmarkStart w:id="23" w:name="_Toc6852"/>
      <w:bookmarkStart w:id="24" w:name="_Toc14691"/>
      <w:r>
        <w:rPr>
          <w:rFonts w:hint="eastAsia"/>
        </w:rPr>
        <w:t>3　术语和定义</w:t>
      </w:r>
      <w:bookmarkEnd w:id="20"/>
      <w:bookmarkEnd w:id="21"/>
      <w:bookmarkEnd w:id="22"/>
      <w:bookmarkEnd w:id="23"/>
      <w:bookmarkEnd w:id="24"/>
    </w:p>
    <w:p w14:paraId="6D9718A3">
      <w:pPr>
        <w:pStyle w:val="25"/>
        <w:ind w:firstLine="420"/>
        <w:rPr>
          <w:rFonts w:ascii="Times New Roman" w:hAnsi="Times New Roman"/>
        </w:rPr>
      </w:pPr>
      <w:r>
        <w:rPr>
          <w:rFonts w:ascii="Times New Roman" w:hAnsi="Times New Roman"/>
        </w:rPr>
        <w:t>GB/T 1147.2-2017、GB/T 18297-2024、JB/T 13716-2019界定的以及下列术语和定义适用于本文件。</w:t>
      </w:r>
    </w:p>
    <w:p w14:paraId="1143E758">
      <w:pPr>
        <w:pStyle w:val="38"/>
        <w:outlineLvl w:val="9"/>
        <w:rPr>
          <w:rFonts w:ascii="Times New Roman" w:hAnsi="Times New Roman"/>
        </w:rPr>
      </w:pPr>
      <w:bookmarkStart w:id="25" w:name="_Toc198645608"/>
      <w:bookmarkStart w:id="26" w:name="_Toc28757"/>
      <w:bookmarkStart w:id="27" w:name="_Toc17794"/>
      <w:bookmarkStart w:id="28" w:name="_Toc198646025"/>
      <w:bookmarkStart w:id="29" w:name="_Toc198646096"/>
      <w:bookmarkStart w:id="30" w:name="_Toc198645760"/>
      <w:bookmarkStart w:id="31" w:name="_Toc198733060"/>
      <w:r>
        <w:rPr>
          <w:rFonts w:hint="eastAsia"/>
        </w:rPr>
        <w:t>3.1</w:t>
      </w:r>
      <w:bookmarkEnd w:id="25"/>
      <w:bookmarkEnd w:id="26"/>
      <w:bookmarkEnd w:id="27"/>
      <w:bookmarkEnd w:id="28"/>
      <w:bookmarkEnd w:id="29"/>
      <w:bookmarkEnd w:id="30"/>
      <w:r>
        <w:rPr>
          <w:rFonts w:ascii="Times New Roman" w:hAnsi="Times New Roman"/>
        </w:rPr>
        <w:t>　</w:t>
      </w:r>
      <w:bookmarkEnd w:id="31"/>
    </w:p>
    <w:p w14:paraId="1DC34111">
      <w:pPr>
        <w:pStyle w:val="27"/>
        <w:ind w:left="420" w:leftChars="200"/>
        <w:rPr>
          <w:rFonts w:hint="eastAsia"/>
        </w:rPr>
      </w:pPr>
      <w:r>
        <w:rPr>
          <w:rFonts w:hint="eastAsia"/>
        </w:rPr>
        <w:t>高海拔环境　high-altitude environment</w:t>
      </w:r>
    </w:p>
    <w:p w14:paraId="2BF6D9CA">
      <w:pPr>
        <w:pStyle w:val="25"/>
        <w:ind w:firstLine="420"/>
        <w:rPr>
          <w:rFonts w:hint="eastAsia"/>
        </w:rPr>
      </w:pPr>
      <w:r>
        <w:rPr>
          <w:rFonts w:hint="eastAsia"/>
        </w:rPr>
        <w:t>指海拔在1500m到5600m的环境。</w:t>
      </w:r>
    </w:p>
    <w:p w14:paraId="3141CE5B">
      <w:pPr>
        <w:pStyle w:val="38"/>
        <w:outlineLvl w:val="9"/>
        <w:rPr>
          <w:rFonts w:hint="eastAsia"/>
        </w:rPr>
      </w:pPr>
      <w:bookmarkStart w:id="32" w:name="_Toc198646098"/>
      <w:bookmarkStart w:id="33" w:name="_Toc198646027"/>
      <w:bookmarkStart w:id="34" w:name="_Toc22048"/>
      <w:bookmarkStart w:id="35" w:name="_Toc198645610"/>
      <w:bookmarkStart w:id="36" w:name="_Toc28908"/>
      <w:bookmarkStart w:id="37" w:name="_Toc198645762"/>
      <w:bookmarkStart w:id="38" w:name="_Toc198733061"/>
      <w:r>
        <w:rPr>
          <w:rFonts w:hint="eastAsia"/>
        </w:rPr>
        <w:t>3.2</w:t>
      </w:r>
      <w:bookmarkEnd w:id="32"/>
      <w:bookmarkEnd w:id="33"/>
      <w:bookmarkEnd w:id="34"/>
      <w:bookmarkEnd w:id="35"/>
      <w:bookmarkEnd w:id="36"/>
      <w:bookmarkEnd w:id="37"/>
      <w:r>
        <w:rPr>
          <w:rFonts w:hint="eastAsia"/>
        </w:rPr>
        <w:t>　</w:t>
      </w:r>
      <w:bookmarkEnd w:id="38"/>
    </w:p>
    <w:p w14:paraId="394C2795">
      <w:pPr>
        <w:pStyle w:val="27"/>
        <w:ind w:left="420" w:leftChars="200"/>
        <w:rPr>
          <w:rFonts w:hint="eastAsia"/>
        </w:rPr>
      </w:pPr>
      <w:r>
        <w:rPr>
          <w:rFonts w:hint="eastAsia"/>
        </w:rPr>
        <w:t>高原冷起动测试　high-altitude cold start test</w:t>
      </w:r>
    </w:p>
    <w:p w14:paraId="168E86DE">
      <w:pPr>
        <w:pStyle w:val="25"/>
        <w:ind w:firstLine="420"/>
        <w:rPr>
          <w:rFonts w:hint="eastAsia"/>
        </w:rPr>
      </w:pPr>
      <w:r>
        <w:rPr>
          <w:rFonts w:hint="eastAsia"/>
        </w:rPr>
        <w:t>发动机在高原环境下冷冻静置8h以上，环境温度按4.1的规定执行，待冷却液温度、机油温度等达到试验温度±1℃时，起动电机拖动发动机进行冷起动测试。</w:t>
      </w:r>
    </w:p>
    <w:p w14:paraId="2A664EEE">
      <w:pPr>
        <w:pStyle w:val="38"/>
        <w:outlineLvl w:val="9"/>
        <w:rPr>
          <w:rFonts w:hint="eastAsia"/>
        </w:rPr>
      </w:pPr>
      <w:bookmarkStart w:id="39" w:name="_Toc15347"/>
      <w:bookmarkStart w:id="40" w:name="_Toc3782"/>
      <w:r>
        <w:rPr>
          <w:rFonts w:hint="eastAsia"/>
        </w:rPr>
        <w:t>3.</w:t>
      </w:r>
      <w:bookmarkEnd w:id="39"/>
      <w:r>
        <w:rPr>
          <w:rFonts w:hint="eastAsia"/>
        </w:rPr>
        <w:t>3</w:t>
      </w:r>
      <w:bookmarkEnd w:id="40"/>
      <w:r>
        <w:rPr>
          <w:rFonts w:hint="eastAsia"/>
        </w:rPr>
        <w:t>　</w:t>
      </w:r>
    </w:p>
    <w:p w14:paraId="68D16274">
      <w:pPr>
        <w:pStyle w:val="27"/>
        <w:ind w:left="420" w:leftChars="200"/>
        <w:rPr>
          <w:rFonts w:hint="eastAsia"/>
        </w:rPr>
      </w:pPr>
      <w:r>
        <w:rPr>
          <w:rFonts w:hint="eastAsia"/>
        </w:rPr>
        <w:t>高原冷起动加载测试　high-altitude cold-start load testing</w:t>
      </w:r>
    </w:p>
    <w:p w14:paraId="65C40E0E">
      <w:pPr>
        <w:pStyle w:val="25"/>
        <w:ind w:firstLine="420"/>
        <w:rPr>
          <w:rFonts w:hint="eastAsia"/>
        </w:rPr>
      </w:pPr>
      <w:r>
        <w:rPr>
          <w:rFonts w:hint="eastAsia"/>
        </w:rPr>
        <w:t>发动机在高原环境下冷冻静置8h以上，环境温度按4.1的规定执行，待冷却液、机油温度等达到试验温度±1℃时，附加给发动机主轴一个相反力矩，起动电机拖动发动机进行起动加载测试。</w:t>
      </w:r>
    </w:p>
    <w:p w14:paraId="1D2AA726">
      <w:pPr>
        <w:pStyle w:val="39"/>
        <w:rPr>
          <w:rFonts w:hint="eastAsia"/>
        </w:rPr>
      </w:pPr>
      <w:bookmarkStart w:id="41" w:name="_Toc511374136"/>
      <w:bookmarkStart w:id="42" w:name="_Toc198733062"/>
      <w:bookmarkStart w:id="43" w:name="_Toc13451"/>
      <w:bookmarkStart w:id="44" w:name="_Toc29669"/>
      <w:bookmarkStart w:id="45" w:name="_Toc29743"/>
      <w:bookmarkStart w:id="46" w:name="_Toc25514"/>
      <w:r>
        <w:rPr>
          <w:rFonts w:hint="eastAsia"/>
        </w:rPr>
        <w:t>4</w:t>
      </w:r>
      <w:bookmarkEnd w:id="41"/>
      <w:r>
        <w:rPr>
          <w:rFonts w:hint="eastAsia"/>
        </w:rPr>
        <w:t>　</w:t>
      </w:r>
      <w:bookmarkEnd w:id="42"/>
      <w:r>
        <w:rPr>
          <w:rFonts w:hint="eastAsia"/>
        </w:rPr>
        <w:t>试验要求</w:t>
      </w:r>
      <w:bookmarkEnd w:id="43"/>
      <w:bookmarkEnd w:id="44"/>
      <w:bookmarkEnd w:id="45"/>
      <w:bookmarkEnd w:id="46"/>
    </w:p>
    <w:p w14:paraId="3FF7963B">
      <w:pPr>
        <w:pStyle w:val="38"/>
        <w:rPr>
          <w:rFonts w:hint="eastAsia"/>
        </w:rPr>
      </w:pPr>
      <w:bookmarkStart w:id="47" w:name="_Toc25202"/>
      <w:r>
        <w:rPr>
          <w:rFonts w:hint="eastAsia"/>
        </w:rPr>
        <w:t>4.1　不同海拔下试验温度推荐值</w:t>
      </w:r>
      <w:bookmarkEnd w:id="47"/>
    </w:p>
    <w:p w14:paraId="0D538BF3">
      <w:pPr>
        <w:pStyle w:val="45"/>
        <w:rPr>
          <w:rFonts w:hint="eastAsia"/>
        </w:rPr>
      </w:pPr>
      <w:r>
        <w:rPr>
          <w:rFonts w:hint="eastAsia"/>
        </w:rPr>
        <w:t>表１ 试验温度推荐值</w:t>
      </w:r>
    </w:p>
    <w:tbl>
      <w:tblPr>
        <w:tblStyle w:val="18"/>
        <w:tblW w:w="7238" w:type="dxa"/>
        <w:jc w:val="center"/>
        <w:tblLayout w:type="fixed"/>
        <w:tblCellMar>
          <w:top w:w="0" w:type="dxa"/>
          <w:left w:w="108" w:type="dxa"/>
          <w:bottom w:w="0" w:type="dxa"/>
          <w:right w:w="108" w:type="dxa"/>
        </w:tblCellMar>
      </w:tblPr>
      <w:tblGrid>
        <w:gridCol w:w="2137"/>
        <w:gridCol w:w="2411"/>
        <w:gridCol w:w="2690"/>
      </w:tblGrid>
      <w:tr w14:paraId="192E5923">
        <w:tblPrEx>
          <w:tblCellMar>
            <w:top w:w="0" w:type="dxa"/>
            <w:left w:w="108" w:type="dxa"/>
            <w:bottom w:w="0" w:type="dxa"/>
            <w:right w:w="108" w:type="dxa"/>
          </w:tblCellMar>
        </w:tblPrEx>
        <w:trPr>
          <w:trHeight w:val="244" w:hRule="atLeast"/>
          <w:jc w:val="center"/>
        </w:trPr>
        <w:tc>
          <w:tcPr>
            <w:tcW w:w="2137" w:type="dxa"/>
            <w:tcBorders>
              <w:top w:val="single" w:color="000000" w:sz="8" w:space="0"/>
              <w:left w:val="single" w:color="000000" w:sz="8" w:space="0"/>
              <w:bottom w:val="single" w:color="000000" w:sz="8" w:space="0"/>
              <w:right w:val="single" w:color="000000" w:sz="4" w:space="0"/>
            </w:tcBorders>
            <w:noWrap/>
            <w:vAlign w:val="center"/>
          </w:tcPr>
          <w:p w14:paraId="5118B316">
            <w:pPr>
              <w:widowControl/>
              <w:jc w:val="center"/>
              <w:textAlignment w:val="center"/>
              <w:rPr>
                <w:rFonts w:hint="eastAsia" w:cs="宋体"/>
                <w:sz w:val="18"/>
                <w:szCs w:val="18"/>
              </w:rPr>
            </w:pPr>
            <w:r>
              <w:rPr>
                <w:rFonts w:hint="eastAsia" w:cs="宋体"/>
                <w:kern w:val="0"/>
                <w:sz w:val="18"/>
                <w:szCs w:val="18"/>
                <w:lang w:bidi="ar"/>
              </w:rPr>
              <w:t>海拔高度</w:t>
            </w:r>
          </w:p>
        </w:tc>
        <w:tc>
          <w:tcPr>
            <w:tcW w:w="2411" w:type="dxa"/>
            <w:tcBorders>
              <w:top w:val="single" w:color="000000" w:sz="8" w:space="0"/>
              <w:left w:val="single" w:color="000000" w:sz="4" w:space="0"/>
              <w:bottom w:val="single" w:color="000000" w:sz="8" w:space="0"/>
              <w:right w:val="single" w:color="000000" w:sz="4" w:space="0"/>
            </w:tcBorders>
            <w:noWrap/>
            <w:vAlign w:val="center"/>
          </w:tcPr>
          <w:p w14:paraId="03FED936">
            <w:pPr>
              <w:widowControl/>
              <w:jc w:val="center"/>
              <w:textAlignment w:val="center"/>
              <w:rPr>
                <w:rFonts w:hint="eastAsia" w:cs="宋体"/>
                <w:sz w:val="18"/>
                <w:szCs w:val="18"/>
              </w:rPr>
            </w:pPr>
            <w:r>
              <w:rPr>
                <w:rFonts w:hint="eastAsia" w:cs="宋体"/>
                <w:kern w:val="0"/>
                <w:sz w:val="18"/>
                <w:szCs w:val="18"/>
                <w:lang w:bidi="ar"/>
              </w:rPr>
              <w:t>环境压力/kPa</w:t>
            </w:r>
          </w:p>
        </w:tc>
        <w:tc>
          <w:tcPr>
            <w:tcW w:w="2690" w:type="dxa"/>
            <w:tcBorders>
              <w:top w:val="single" w:color="000000" w:sz="8" w:space="0"/>
              <w:left w:val="single" w:color="000000" w:sz="4" w:space="0"/>
              <w:bottom w:val="single" w:color="000000" w:sz="8" w:space="0"/>
              <w:right w:val="single" w:color="000000" w:sz="8" w:space="0"/>
            </w:tcBorders>
            <w:noWrap/>
            <w:vAlign w:val="center"/>
          </w:tcPr>
          <w:p w14:paraId="646C8866">
            <w:pPr>
              <w:widowControl/>
              <w:jc w:val="center"/>
              <w:textAlignment w:val="center"/>
              <w:rPr>
                <w:rFonts w:hint="eastAsia" w:cs="宋体"/>
                <w:sz w:val="18"/>
                <w:szCs w:val="18"/>
              </w:rPr>
            </w:pPr>
            <w:r>
              <w:rPr>
                <w:rFonts w:hint="eastAsia" w:cs="宋体"/>
                <w:kern w:val="0"/>
                <w:sz w:val="18"/>
                <w:szCs w:val="18"/>
                <w:lang w:bidi="ar"/>
              </w:rPr>
              <w:t>环境温度/℃</w:t>
            </w:r>
          </w:p>
        </w:tc>
      </w:tr>
      <w:tr w14:paraId="708A1367">
        <w:tblPrEx>
          <w:tblCellMar>
            <w:top w:w="0" w:type="dxa"/>
            <w:left w:w="108" w:type="dxa"/>
            <w:bottom w:w="0" w:type="dxa"/>
            <w:right w:w="108" w:type="dxa"/>
          </w:tblCellMar>
        </w:tblPrEx>
        <w:trPr>
          <w:trHeight w:val="244" w:hRule="atLeast"/>
          <w:jc w:val="center"/>
        </w:trPr>
        <w:tc>
          <w:tcPr>
            <w:tcW w:w="2137" w:type="dxa"/>
            <w:tcBorders>
              <w:top w:val="single" w:color="000000" w:sz="8" w:space="0"/>
              <w:left w:val="single" w:color="000000" w:sz="4" w:space="0"/>
              <w:bottom w:val="single" w:color="000000" w:sz="4" w:space="0"/>
              <w:right w:val="single" w:color="000000" w:sz="4" w:space="0"/>
            </w:tcBorders>
            <w:noWrap/>
            <w:vAlign w:val="center"/>
          </w:tcPr>
          <w:p w14:paraId="05D64A62">
            <w:pPr>
              <w:widowControl/>
              <w:jc w:val="center"/>
              <w:textAlignment w:val="center"/>
              <w:rPr>
                <w:rFonts w:hint="eastAsia" w:cs="宋体"/>
                <w:kern w:val="0"/>
                <w:sz w:val="18"/>
                <w:szCs w:val="18"/>
                <w:lang w:bidi="ar"/>
              </w:rPr>
            </w:pPr>
            <w:r>
              <w:rPr>
                <w:rFonts w:hint="eastAsia" w:cs="宋体"/>
                <w:kern w:val="0"/>
                <w:sz w:val="18"/>
                <w:szCs w:val="18"/>
                <w:lang w:bidi="ar"/>
              </w:rPr>
              <w:t>1500 m</w:t>
            </w:r>
          </w:p>
        </w:tc>
        <w:tc>
          <w:tcPr>
            <w:tcW w:w="2411" w:type="dxa"/>
            <w:tcBorders>
              <w:top w:val="single" w:color="000000" w:sz="8" w:space="0"/>
              <w:left w:val="single" w:color="000000" w:sz="4" w:space="0"/>
              <w:bottom w:val="single" w:color="000000" w:sz="4" w:space="0"/>
              <w:right w:val="single" w:color="000000" w:sz="4" w:space="0"/>
            </w:tcBorders>
            <w:noWrap/>
            <w:vAlign w:val="center"/>
          </w:tcPr>
          <w:p w14:paraId="1461BFE1">
            <w:pPr>
              <w:widowControl/>
              <w:jc w:val="center"/>
              <w:textAlignment w:val="center"/>
              <w:rPr>
                <w:rFonts w:hint="eastAsia" w:cs="宋体"/>
                <w:kern w:val="0"/>
                <w:sz w:val="18"/>
                <w:szCs w:val="18"/>
                <w:lang w:bidi="ar"/>
              </w:rPr>
            </w:pPr>
            <w:r>
              <w:rPr>
                <w:rFonts w:hint="eastAsia" w:cs="宋体"/>
                <w:kern w:val="0"/>
                <w:sz w:val="18"/>
                <w:szCs w:val="18"/>
                <w:lang w:bidi="ar"/>
              </w:rPr>
              <w:t>84.5</w:t>
            </w:r>
          </w:p>
        </w:tc>
        <w:tc>
          <w:tcPr>
            <w:tcW w:w="2690" w:type="dxa"/>
            <w:tcBorders>
              <w:top w:val="single" w:color="000000" w:sz="8" w:space="0"/>
              <w:left w:val="single" w:color="000000" w:sz="4" w:space="0"/>
              <w:bottom w:val="single" w:color="auto" w:sz="4" w:space="0"/>
              <w:right w:val="single" w:color="auto" w:sz="4" w:space="0"/>
            </w:tcBorders>
            <w:noWrap/>
            <w:vAlign w:val="center"/>
          </w:tcPr>
          <w:p w14:paraId="47803400">
            <w:pPr>
              <w:widowControl/>
              <w:jc w:val="center"/>
              <w:textAlignment w:val="center"/>
              <w:rPr>
                <w:rFonts w:hint="eastAsia" w:cs="宋体"/>
                <w:kern w:val="0"/>
                <w:sz w:val="18"/>
                <w:szCs w:val="18"/>
                <w:lang w:bidi="ar"/>
              </w:rPr>
            </w:pPr>
            <w:r>
              <w:rPr>
                <w:rFonts w:hint="eastAsia" w:cs="宋体"/>
                <w:kern w:val="0"/>
                <w:sz w:val="18"/>
                <w:szCs w:val="18"/>
                <w:lang w:bidi="ar"/>
              </w:rPr>
              <w:t>10</w:t>
            </w:r>
          </w:p>
        </w:tc>
      </w:tr>
      <w:tr w14:paraId="68215968">
        <w:tblPrEx>
          <w:tblCellMar>
            <w:top w:w="0" w:type="dxa"/>
            <w:left w:w="108" w:type="dxa"/>
            <w:bottom w:w="0" w:type="dxa"/>
            <w:right w:w="108" w:type="dxa"/>
          </w:tblCellMar>
        </w:tblPrEx>
        <w:trPr>
          <w:trHeight w:val="244" w:hRule="atLeast"/>
          <w:jc w:val="center"/>
        </w:trPr>
        <w:tc>
          <w:tcPr>
            <w:tcW w:w="2137" w:type="dxa"/>
            <w:tcBorders>
              <w:top w:val="single" w:color="000000" w:sz="4" w:space="0"/>
              <w:left w:val="single" w:color="000000" w:sz="4" w:space="0"/>
              <w:bottom w:val="single" w:color="000000" w:sz="4" w:space="0"/>
              <w:right w:val="single" w:color="000000" w:sz="4" w:space="0"/>
            </w:tcBorders>
            <w:noWrap/>
            <w:vAlign w:val="center"/>
          </w:tcPr>
          <w:p w14:paraId="434F03CC">
            <w:pPr>
              <w:widowControl/>
              <w:jc w:val="center"/>
              <w:textAlignment w:val="center"/>
              <w:rPr>
                <w:rFonts w:hint="eastAsia" w:cs="宋体"/>
                <w:kern w:val="0"/>
                <w:sz w:val="18"/>
                <w:szCs w:val="18"/>
                <w:lang w:bidi="ar"/>
              </w:rPr>
            </w:pPr>
            <w:r>
              <w:rPr>
                <w:rFonts w:hint="eastAsia" w:cs="宋体"/>
                <w:kern w:val="0"/>
                <w:sz w:val="18"/>
                <w:szCs w:val="18"/>
                <w:lang w:bidi="ar"/>
              </w:rPr>
              <w:t>2000 m</w:t>
            </w:r>
          </w:p>
        </w:tc>
        <w:tc>
          <w:tcPr>
            <w:tcW w:w="2411" w:type="dxa"/>
            <w:tcBorders>
              <w:top w:val="single" w:color="000000" w:sz="4" w:space="0"/>
              <w:left w:val="single" w:color="000000" w:sz="4" w:space="0"/>
              <w:bottom w:val="single" w:color="000000" w:sz="4" w:space="0"/>
              <w:right w:val="single" w:color="auto" w:sz="4" w:space="0"/>
            </w:tcBorders>
            <w:noWrap/>
            <w:vAlign w:val="center"/>
          </w:tcPr>
          <w:p w14:paraId="5B973B4A">
            <w:pPr>
              <w:widowControl/>
              <w:jc w:val="center"/>
              <w:textAlignment w:val="center"/>
              <w:rPr>
                <w:rFonts w:hint="eastAsia" w:cs="宋体"/>
                <w:kern w:val="0"/>
                <w:sz w:val="18"/>
                <w:szCs w:val="18"/>
                <w:lang w:bidi="ar"/>
              </w:rPr>
            </w:pPr>
            <w:r>
              <w:rPr>
                <w:rFonts w:hint="eastAsia" w:cs="宋体"/>
                <w:kern w:val="0"/>
                <w:sz w:val="18"/>
                <w:szCs w:val="18"/>
                <w:lang w:bidi="ar"/>
              </w:rPr>
              <w:t>79.5</w:t>
            </w:r>
          </w:p>
        </w:tc>
        <w:tc>
          <w:tcPr>
            <w:tcW w:w="2690" w:type="dxa"/>
            <w:tcBorders>
              <w:top w:val="single" w:color="auto" w:sz="4" w:space="0"/>
              <w:left w:val="single" w:color="auto" w:sz="4" w:space="0"/>
              <w:bottom w:val="single" w:color="auto" w:sz="4" w:space="0"/>
              <w:right w:val="single" w:color="auto" w:sz="4" w:space="0"/>
            </w:tcBorders>
            <w:noWrap/>
            <w:vAlign w:val="center"/>
          </w:tcPr>
          <w:p w14:paraId="77CA5198">
            <w:pPr>
              <w:widowControl/>
              <w:jc w:val="center"/>
              <w:textAlignment w:val="center"/>
              <w:rPr>
                <w:rFonts w:hint="eastAsia" w:cs="宋体"/>
                <w:kern w:val="0"/>
                <w:sz w:val="18"/>
                <w:szCs w:val="18"/>
                <w:lang w:bidi="ar"/>
              </w:rPr>
            </w:pPr>
            <w:r>
              <w:rPr>
                <w:rFonts w:hint="eastAsia" w:cs="宋体"/>
                <w:kern w:val="0"/>
                <w:sz w:val="18"/>
                <w:szCs w:val="18"/>
                <w:lang w:bidi="ar"/>
              </w:rPr>
              <w:t>5</w:t>
            </w:r>
          </w:p>
        </w:tc>
      </w:tr>
      <w:tr w14:paraId="0AB257E6">
        <w:tblPrEx>
          <w:tblCellMar>
            <w:top w:w="0" w:type="dxa"/>
            <w:left w:w="108" w:type="dxa"/>
            <w:bottom w:w="0" w:type="dxa"/>
            <w:right w:w="108" w:type="dxa"/>
          </w:tblCellMar>
        </w:tblPrEx>
        <w:trPr>
          <w:trHeight w:val="337" w:hRule="atLeast"/>
          <w:jc w:val="center"/>
        </w:trPr>
        <w:tc>
          <w:tcPr>
            <w:tcW w:w="2137" w:type="dxa"/>
            <w:tcBorders>
              <w:top w:val="single" w:color="000000" w:sz="4" w:space="0"/>
              <w:left w:val="single" w:color="000000" w:sz="4" w:space="0"/>
              <w:bottom w:val="single" w:color="000000" w:sz="4" w:space="0"/>
              <w:right w:val="single" w:color="000000" w:sz="4" w:space="0"/>
            </w:tcBorders>
            <w:noWrap/>
            <w:vAlign w:val="center"/>
          </w:tcPr>
          <w:p w14:paraId="5C239FE5">
            <w:pPr>
              <w:widowControl/>
              <w:jc w:val="center"/>
              <w:textAlignment w:val="center"/>
              <w:rPr>
                <w:rFonts w:hint="eastAsia" w:cs="宋体"/>
                <w:kern w:val="0"/>
                <w:sz w:val="18"/>
                <w:szCs w:val="18"/>
                <w:lang w:bidi="ar"/>
              </w:rPr>
            </w:pPr>
            <w:r>
              <w:rPr>
                <w:rFonts w:hint="eastAsia" w:cs="宋体"/>
                <w:kern w:val="0"/>
                <w:sz w:val="18"/>
                <w:szCs w:val="18"/>
                <w:lang w:bidi="ar"/>
              </w:rPr>
              <w:t>3000 m</w:t>
            </w:r>
          </w:p>
        </w:tc>
        <w:tc>
          <w:tcPr>
            <w:tcW w:w="2411" w:type="dxa"/>
            <w:tcBorders>
              <w:top w:val="single" w:color="000000" w:sz="4" w:space="0"/>
              <w:left w:val="single" w:color="000000" w:sz="4" w:space="0"/>
              <w:bottom w:val="single" w:color="000000" w:sz="4" w:space="0"/>
              <w:right w:val="single" w:color="000000" w:sz="4" w:space="0"/>
            </w:tcBorders>
            <w:noWrap/>
            <w:vAlign w:val="center"/>
          </w:tcPr>
          <w:p w14:paraId="2A8528B2">
            <w:pPr>
              <w:widowControl/>
              <w:jc w:val="center"/>
              <w:textAlignment w:val="center"/>
              <w:rPr>
                <w:rFonts w:hint="eastAsia" w:cs="宋体"/>
                <w:kern w:val="0"/>
                <w:sz w:val="18"/>
                <w:szCs w:val="18"/>
                <w:lang w:bidi="ar"/>
              </w:rPr>
            </w:pPr>
            <w:r>
              <w:rPr>
                <w:rFonts w:hint="eastAsia" w:cs="宋体"/>
                <w:kern w:val="0"/>
                <w:sz w:val="18"/>
                <w:szCs w:val="18"/>
                <w:lang w:bidi="ar"/>
              </w:rPr>
              <w:t>70.1</w:t>
            </w:r>
          </w:p>
        </w:tc>
        <w:tc>
          <w:tcPr>
            <w:tcW w:w="2690" w:type="dxa"/>
            <w:tcBorders>
              <w:top w:val="single" w:color="auto" w:sz="4" w:space="0"/>
              <w:left w:val="single" w:color="000000" w:sz="4" w:space="0"/>
              <w:bottom w:val="single" w:color="000000" w:sz="4" w:space="0"/>
              <w:right w:val="single" w:color="auto" w:sz="4" w:space="0"/>
            </w:tcBorders>
            <w:noWrap/>
            <w:vAlign w:val="center"/>
          </w:tcPr>
          <w:p w14:paraId="5D09CEDA">
            <w:pPr>
              <w:widowControl/>
              <w:jc w:val="center"/>
              <w:textAlignment w:val="center"/>
              <w:rPr>
                <w:rFonts w:hint="eastAsia" w:cs="宋体"/>
                <w:kern w:val="0"/>
                <w:sz w:val="18"/>
                <w:szCs w:val="18"/>
                <w:lang w:bidi="ar"/>
              </w:rPr>
            </w:pPr>
            <w:r>
              <w:rPr>
                <w:rFonts w:hint="eastAsia" w:cs="宋体"/>
                <w:kern w:val="0"/>
                <w:sz w:val="18"/>
                <w:szCs w:val="18"/>
                <w:lang w:bidi="ar"/>
              </w:rPr>
              <w:t>-3</w:t>
            </w:r>
          </w:p>
        </w:tc>
      </w:tr>
      <w:tr w14:paraId="5C693B87">
        <w:tblPrEx>
          <w:tblCellMar>
            <w:top w:w="0" w:type="dxa"/>
            <w:left w:w="108" w:type="dxa"/>
            <w:bottom w:w="0" w:type="dxa"/>
            <w:right w:w="108" w:type="dxa"/>
          </w:tblCellMar>
        </w:tblPrEx>
        <w:trPr>
          <w:trHeight w:val="312" w:hRule="atLeast"/>
          <w:jc w:val="center"/>
        </w:trPr>
        <w:tc>
          <w:tcPr>
            <w:tcW w:w="2137" w:type="dxa"/>
            <w:tcBorders>
              <w:top w:val="single" w:color="000000" w:sz="4" w:space="0"/>
              <w:left w:val="single" w:color="000000" w:sz="4" w:space="0"/>
              <w:bottom w:val="single" w:color="000000" w:sz="4" w:space="0"/>
              <w:right w:val="single" w:color="000000" w:sz="4" w:space="0"/>
            </w:tcBorders>
            <w:noWrap/>
            <w:vAlign w:val="center"/>
          </w:tcPr>
          <w:p w14:paraId="7A091A04">
            <w:pPr>
              <w:widowControl/>
              <w:jc w:val="center"/>
              <w:textAlignment w:val="center"/>
              <w:rPr>
                <w:rFonts w:hint="eastAsia" w:cs="宋体"/>
                <w:kern w:val="0"/>
                <w:sz w:val="18"/>
                <w:szCs w:val="18"/>
                <w:lang w:bidi="ar"/>
              </w:rPr>
            </w:pPr>
            <w:r>
              <w:rPr>
                <w:rFonts w:hint="eastAsia" w:cs="宋体"/>
                <w:kern w:val="0"/>
                <w:sz w:val="18"/>
                <w:szCs w:val="18"/>
                <w:lang w:bidi="ar"/>
              </w:rPr>
              <w:t>4000 m</w:t>
            </w:r>
          </w:p>
        </w:tc>
        <w:tc>
          <w:tcPr>
            <w:tcW w:w="2411" w:type="dxa"/>
            <w:tcBorders>
              <w:top w:val="single" w:color="000000" w:sz="4" w:space="0"/>
              <w:left w:val="single" w:color="000000" w:sz="4" w:space="0"/>
              <w:bottom w:val="single" w:color="000000" w:sz="4" w:space="0"/>
              <w:right w:val="single" w:color="000000" w:sz="4" w:space="0"/>
            </w:tcBorders>
            <w:noWrap/>
            <w:vAlign w:val="center"/>
          </w:tcPr>
          <w:p w14:paraId="75F09623">
            <w:pPr>
              <w:widowControl/>
              <w:jc w:val="center"/>
              <w:textAlignment w:val="center"/>
              <w:rPr>
                <w:rFonts w:hint="eastAsia" w:cs="宋体"/>
                <w:kern w:val="0"/>
                <w:sz w:val="18"/>
                <w:szCs w:val="18"/>
                <w:lang w:bidi="ar"/>
              </w:rPr>
            </w:pPr>
            <w:r>
              <w:rPr>
                <w:rFonts w:hint="eastAsia" w:cs="宋体"/>
                <w:kern w:val="0"/>
                <w:sz w:val="18"/>
                <w:szCs w:val="18"/>
                <w:lang w:bidi="ar"/>
              </w:rPr>
              <w:t>61.6</w:t>
            </w:r>
          </w:p>
        </w:tc>
        <w:tc>
          <w:tcPr>
            <w:tcW w:w="2690" w:type="dxa"/>
            <w:tcBorders>
              <w:top w:val="single" w:color="000000" w:sz="4" w:space="0"/>
              <w:left w:val="single" w:color="000000" w:sz="4" w:space="0"/>
              <w:bottom w:val="single" w:color="000000" w:sz="4" w:space="0"/>
              <w:right w:val="single" w:color="auto" w:sz="4" w:space="0"/>
            </w:tcBorders>
            <w:noWrap/>
            <w:vAlign w:val="center"/>
          </w:tcPr>
          <w:p w14:paraId="58FA05A7">
            <w:pPr>
              <w:widowControl/>
              <w:jc w:val="center"/>
              <w:textAlignment w:val="center"/>
              <w:rPr>
                <w:rFonts w:hint="eastAsia" w:cs="宋体"/>
                <w:kern w:val="0"/>
                <w:sz w:val="18"/>
                <w:szCs w:val="18"/>
                <w:lang w:bidi="ar"/>
              </w:rPr>
            </w:pPr>
            <w:r>
              <w:rPr>
                <w:rFonts w:hint="eastAsia" w:cs="宋体"/>
                <w:kern w:val="0"/>
                <w:sz w:val="18"/>
                <w:szCs w:val="18"/>
                <w:lang w:bidi="ar"/>
              </w:rPr>
              <w:t>-7</w:t>
            </w:r>
          </w:p>
        </w:tc>
      </w:tr>
      <w:tr w14:paraId="5552A9FE">
        <w:tblPrEx>
          <w:tblCellMar>
            <w:top w:w="0" w:type="dxa"/>
            <w:left w:w="108" w:type="dxa"/>
            <w:bottom w:w="0" w:type="dxa"/>
            <w:right w:w="108" w:type="dxa"/>
          </w:tblCellMar>
        </w:tblPrEx>
        <w:trPr>
          <w:trHeight w:val="244" w:hRule="atLeast"/>
          <w:jc w:val="center"/>
        </w:trPr>
        <w:tc>
          <w:tcPr>
            <w:tcW w:w="2137" w:type="dxa"/>
            <w:tcBorders>
              <w:top w:val="single" w:color="000000" w:sz="4" w:space="0"/>
              <w:left w:val="single" w:color="000000" w:sz="4" w:space="0"/>
              <w:bottom w:val="single" w:color="000000" w:sz="4" w:space="0"/>
              <w:right w:val="single" w:color="000000" w:sz="4" w:space="0"/>
            </w:tcBorders>
            <w:noWrap/>
            <w:vAlign w:val="center"/>
          </w:tcPr>
          <w:p w14:paraId="319375AD">
            <w:pPr>
              <w:widowControl/>
              <w:jc w:val="center"/>
              <w:textAlignment w:val="center"/>
              <w:rPr>
                <w:rFonts w:hint="eastAsia" w:cs="宋体"/>
                <w:kern w:val="0"/>
                <w:sz w:val="18"/>
                <w:szCs w:val="18"/>
                <w:lang w:bidi="ar"/>
              </w:rPr>
            </w:pPr>
            <w:r>
              <w:rPr>
                <w:rFonts w:hint="eastAsia" w:cs="宋体"/>
                <w:kern w:val="0"/>
                <w:sz w:val="18"/>
                <w:szCs w:val="18"/>
                <w:lang w:bidi="ar"/>
              </w:rPr>
              <w:t>5000 m</w:t>
            </w:r>
          </w:p>
        </w:tc>
        <w:tc>
          <w:tcPr>
            <w:tcW w:w="2411" w:type="dxa"/>
            <w:tcBorders>
              <w:top w:val="single" w:color="000000" w:sz="4" w:space="0"/>
              <w:left w:val="single" w:color="000000" w:sz="4" w:space="0"/>
              <w:bottom w:val="single" w:color="000000" w:sz="4" w:space="0"/>
              <w:right w:val="single" w:color="000000" w:sz="4" w:space="0"/>
            </w:tcBorders>
            <w:noWrap/>
            <w:vAlign w:val="center"/>
          </w:tcPr>
          <w:p w14:paraId="0E2E1482">
            <w:pPr>
              <w:widowControl/>
              <w:jc w:val="center"/>
              <w:textAlignment w:val="center"/>
              <w:rPr>
                <w:rFonts w:hint="eastAsia" w:cs="宋体"/>
                <w:kern w:val="0"/>
                <w:sz w:val="18"/>
                <w:szCs w:val="18"/>
                <w:lang w:bidi="ar"/>
              </w:rPr>
            </w:pPr>
            <w:r>
              <w:rPr>
                <w:rFonts w:hint="eastAsia" w:cs="宋体"/>
                <w:kern w:val="0"/>
                <w:sz w:val="18"/>
                <w:szCs w:val="18"/>
                <w:lang w:bidi="ar"/>
              </w:rPr>
              <w:t xml:space="preserve">54.0 </w:t>
            </w:r>
          </w:p>
        </w:tc>
        <w:tc>
          <w:tcPr>
            <w:tcW w:w="2690" w:type="dxa"/>
            <w:tcBorders>
              <w:top w:val="single" w:color="000000" w:sz="4" w:space="0"/>
              <w:left w:val="single" w:color="000000" w:sz="4" w:space="0"/>
              <w:bottom w:val="single" w:color="000000" w:sz="4" w:space="0"/>
              <w:right w:val="single" w:color="auto" w:sz="4" w:space="0"/>
            </w:tcBorders>
            <w:noWrap/>
            <w:vAlign w:val="center"/>
          </w:tcPr>
          <w:p w14:paraId="400EE518">
            <w:pPr>
              <w:widowControl/>
              <w:jc w:val="center"/>
              <w:textAlignment w:val="center"/>
              <w:rPr>
                <w:rFonts w:hint="eastAsia" w:cs="宋体"/>
                <w:kern w:val="0"/>
                <w:sz w:val="18"/>
                <w:szCs w:val="18"/>
                <w:lang w:bidi="ar"/>
              </w:rPr>
            </w:pPr>
            <w:r>
              <w:rPr>
                <w:rFonts w:hint="eastAsia" w:cs="宋体"/>
                <w:kern w:val="0"/>
                <w:sz w:val="18"/>
                <w:szCs w:val="18"/>
                <w:lang w:bidi="ar"/>
              </w:rPr>
              <w:t>-10</w:t>
            </w:r>
          </w:p>
        </w:tc>
      </w:tr>
      <w:tr w14:paraId="4350F91E">
        <w:tblPrEx>
          <w:tblCellMar>
            <w:top w:w="0" w:type="dxa"/>
            <w:left w:w="108" w:type="dxa"/>
            <w:bottom w:w="0" w:type="dxa"/>
            <w:right w:w="108" w:type="dxa"/>
          </w:tblCellMar>
        </w:tblPrEx>
        <w:trPr>
          <w:trHeight w:val="259" w:hRule="atLeast"/>
          <w:jc w:val="center"/>
        </w:trPr>
        <w:tc>
          <w:tcPr>
            <w:tcW w:w="2137" w:type="dxa"/>
            <w:tcBorders>
              <w:top w:val="single" w:color="000000" w:sz="4" w:space="0"/>
              <w:left w:val="single" w:color="000000" w:sz="4" w:space="0"/>
              <w:bottom w:val="single" w:color="000000" w:sz="4" w:space="0"/>
              <w:right w:val="single" w:color="000000" w:sz="4" w:space="0"/>
            </w:tcBorders>
            <w:noWrap/>
            <w:vAlign w:val="center"/>
          </w:tcPr>
          <w:p w14:paraId="04ADE185">
            <w:pPr>
              <w:widowControl/>
              <w:jc w:val="center"/>
              <w:textAlignment w:val="center"/>
              <w:rPr>
                <w:rFonts w:hint="eastAsia" w:cs="宋体"/>
                <w:kern w:val="0"/>
                <w:sz w:val="18"/>
                <w:szCs w:val="18"/>
                <w:lang w:bidi="ar"/>
              </w:rPr>
            </w:pPr>
            <w:r>
              <w:rPr>
                <w:rFonts w:hint="eastAsia" w:cs="宋体"/>
                <w:kern w:val="0"/>
                <w:sz w:val="18"/>
                <w:szCs w:val="18"/>
                <w:lang w:bidi="ar"/>
              </w:rPr>
              <w:t>5600 m</w:t>
            </w:r>
          </w:p>
        </w:tc>
        <w:tc>
          <w:tcPr>
            <w:tcW w:w="2411" w:type="dxa"/>
            <w:tcBorders>
              <w:top w:val="single" w:color="000000" w:sz="4" w:space="0"/>
              <w:left w:val="single" w:color="000000" w:sz="4" w:space="0"/>
              <w:bottom w:val="single" w:color="000000" w:sz="4" w:space="0"/>
              <w:right w:val="single" w:color="000000" w:sz="4" w:space="0"/>
            </w:tcBorders>
            <w:noWrap/>
            <w:vAlign w:val="center"/>
          </w:tcPr>
          <w:p w14:paraId="41AAA51A">
            <w:pPr>
              <w:widowControl/>
              <w:jc w:val="center"/>
              <w:textAlignment w:val="center"/>
              <w:rPr>
                <w:rFonts w:hint="eastAsia" w:cs="宋体"/>
                <w:kern w:val="0"/>
                <w:sz w:val="18"/>
                <w:szCs w:val="18"/>
                <w:lang w:bidi="ar"/>
              </w:rPr>
            </w:pPr>
            <w:r>
              <w:rPr>
                <w:rFonts w:hint="eastAsia" w:cs="宋体"/>
                <w:kern w:val="0"/>
                <w:sz w:val="18"/>
                <w:szCs w:val="18"/>
                <w:lang w:bidi="ar"/>
              </w:rPr>
              <w:t>50.4</w:t>
            </w:r>
          </w:p>
        </w:tc>
        <w:tc>
          <w:tcPr>
            <w:tcW w:w="2690" w:type="dxa"/>
            <w:tcBorders>
              <w:top w:val="single" w:color="000000" w:sz="4" w:space="0"/>
              <w:left w:val="single" w:color="000000" w:sz="4" w:space="0"/>
              <w:bottom w:val="single" w:color="000000" w:sz="4" w:space="0"/>
              <w:right w:val="single" w:color="auto" w:sz="4" w:space="0"/>
            </w:tcBorders>
            <w:noWrap/>
            <w:vAlign w:val="center"/>
          </w:tcPr>
          <w:p w14:paraId="517596AA">
            <w:pPr>
              <w:widowControl/>
              <w:jc w:val="center"/>
              <w:textAlignment w:val="center"/>
              <w:rPr>
                <w:rFonts w:hint="eastAsia" w:cs="宋体"/>
                <w:kern w:val="0"/>
                <w:sz w:val="18"/>
                <w:szCs w:val="18"/>
                <w:lang w:bidi="ar"/>
              </w:rPr>
            </w:pPr>
            <w:r>
              <w:rPr>
                <w:rFonts w:hint="eastAsia" w:cs="宋体"/>
                <w:kern w:val="0"/>
                <w:sz w:val="18"/>
                <w:szCs w:val="18"/>
                <w:lang w:bidi="ar"/>
              </w:rPr>
              <w:t>-15</w:t>
            </w:r>
          </w:p>
        </w:tc>
      </w:tr>
      <w:tr w14:paraId="57C539A6">
        <w:tblPrEx>
          <w:tblCellMar>
            <w:top w:w="0" w:type="dxa"/>
            <w:left w:w="108" w:type="dxa"/>
            <w:bottom w:w="0" w:type="dxa"/>
            <w:right w:w="108" w:type="dxa"/>
          </w:tblCellMar>
        </w:tblPrEx>
        <w:trPr>
          <w:trHeight w:val="259" w:hRule="atLeast"/>
          <w:jc w:val="center"/>
        </w:trPr>
        <w:tc>
          <w:tcPr>
            <w:tcW w:w="7238" w:type="dxa"/>
            <w:gridSpan w:val="3"/>
            <w:tcBorders>
              <w:top w:val="single" w:color="000000" w:sz="4" w:space="0"/>
              <w:left w:val="single" w:color="000000" w:sz="4" w:space="0"/>
              <w:bottom w:val="single" w:color="000000" w:sz="4" w:space="0"/>
              <w:right w:val="single" w:color="auto" w:sz="4" w:space="0"/>
            </w:tcBorders>
            <w:noWrap/>
            <w:vAlign w:val="center"/>
          </w:tcPr>
          <w:p w14:paraId="10FFB79B">
            <w:pPr>
              <w:widowControl/>
              <w:textAlignment w:val="center"/>
              <w:rPr>
                <w:rFonts w:hint="eastAsia" w:cs="宋体"/>
                <w:kern w:val="0"/>
                <w:sz w:val="18"/>
                <w:szCs w:val="18"/>
                <w:lang w:bidi="ar"/>
              </w:rPr>
            </w:pPr>
            <w:r>
              <w:rPr>
                <w:rFonts w:hint="eastAsia" w:cs="宋体"/>
                <w:kern w:val="0"/>
                <w:sz w:val="18"/>
                <w:szCs w:val="18"/>
                <w:lang w:bidi="ar"/>
              </w:rPr>
              <w:t>其中，进气压力（海拔）偏差在±2kPa（200米）以内，进气温度偏差在±2℃以内</w:t>
            </w:r>
          </w:p>
        </w:tc>
      </w:tr>
    </w:tbl>
    <w:p w14:paraId="7D7C6DA8">
      <w:pPr>
        <w:pStyle w:val="38"/>
        <w:rPr>
          <w:rFonts w:hint="eastAsia"/>
        </w:rPr>
      </w:pPr>
      <w:bookmarkStart w:id="48" w:name="_Toc198733063"/>
      <w:bookmarkStart w:id="49" w:name="_Toc10777"/>
      <w:bookmarkStart w:id="50" w:name="_Toc5280"/>
      <w:bookmarkStart w:id="51" w:name="_Toc24564"/>
      <w:bookmarkStart w:id="52" w:name="_Toc31206"/>
      <w:r>
        <w:rPr>
          <w:rFonts w:hint="eastAsia"/>
        </w:rPr>
        <w:t>4.2　</w:t>
      </w:r>
      <w:bookmarkEnd w:id="48"/>
      <w:r>
        <w:rPr>
          <w:rFonts w:hint="eastAsia"/>
        </w:rPr>
        <w:t>燃料、润滑油、冷却液的要求</w:t>
      </w:r>
      <w:bookmarkEnd w:id="49"/>
      <w:bookmarkEnd w:id="50"/>
      <w:bookmarkEnd w:id="51"/>
      <w:bookmarkEnd w:id="52"/>
    </w:p>
    <w:p w14:paraId="57E5C030">
      <w:pPr>
        <w:pStyle w:val="25"/>
        <w:ind w:firstLine="420"/>
        <w:rPr>
          <w:rFonts w:ascii="Times New Roman" w:hAnsi="Times New Roman"/>
        </w:rPr>
      </w:pPr>
      <w:r>
        <w:rPr>
          <w:rFonts w:ascii="Times New Roman" w:hAnsi="Times New Roman"/>
        </w:rPr>
        <w:t>试验用的润滑油、燃油和冷却液需与试验温度相适配，确保在低温环境下具有良好流动性，避免对试验结果产生影响。</w:t>
      </w:r>
    </w:p>
    <w:p w14:paraId="238A2363">
      <w:pPr>
        <w:pStyle w:val="25"/>
        <w:ind w:firstLine="420"/>
        <w:rPr>
          <w:rFonts w:ascii="Times New Roman" w:hAnsi="Times New Roman"/>
        </w:rPr>
      </w:pPr>
      <w:r>
        <w:rPr>
          <w:rFonts w:ascii="Times New Roman" w:hAnsi="Times New Roman"/>
        </w:rPr>
        <w:t>试验用的燃油浊点应低于试验温度3K~5K（3℃~5℃），具体按GB 19147的规定或制造厂要求执行。</w:t>
      </w:r>
    </w:p>
    <w:p w14:paraId="477B8B49">
      <w:pPr>
        <w:pStyle w:val="25"/>
        <w:ind w:firstLine="420"/>
        <w:rPr>
          <w:rFonts w:ascii="Times New Roman" w:hAnsi="Times New Roman"/>
        </w:rPr>
      </w:pPr>
      <w:r>
        <w:rPr>
          <w:rFonts w:ascii="Times New Roman" w:hAnsi="Times New Roman"/>
        </w:rPr>
        <w:t>试验用的润滑油凝固点应低于试验温度10K（10℃），具体按GB 11122的规定或制造厂要求执行。</w:t>
      </w:r>
    </w:p>
    <w:p w14:paraId="1E495319">
      <w:pPr>
        <w:pStyle w:val="25"/>
        <w:ind w:firstLine="420"/>
        <w:rPr>
          <w:rFonts w:ascii="Times New Roman" w:hAnsi="Times New Roman"/>
        </w:rPr>
      </w:pPr>
      <w:r>
        <w:rPr>
          <w:rFonts w:ascii="Times New Roman" w:hAnsi="Times New Roman"/>
        </w:rPr>
        <w:t>试验用的冷却液凝固点应低于试验温度10K（10℃），具体按制造厂要求执行。</w:t>
      </w:r>
    </w:p>
    <w:p w14:paraId="39063B3D">
      <w:pPr>
        <w:pStyle w:val="38"/>
        <w:rPr>
          <w:rFonts w:hint="eastAsia"/>
        </w:rPr>
      </w:pPr>
      <w:bookmarkStart w:id="53" w:name="_Toc198733064"/>
      <w:bookmarkStart w:id="54" w:name="_Toc32735"/>
      <w:bookmarkStart w:id="55" w:name="_Toc8393"/>
      <w:bookmarkStart w:id="56" w:name="_Toc25042"/>
      <w:bookmarkStart w:id="57" w:name="_Toc24054"/>
      <w:r>
        <w:rPr>
          <w:rFonts w:hint="eastAsia"/>
        </w:rPr>
        <w:t>4.3　</w:t>
      </w:r>
      <w:bookmarkEnd w:id="53"/>
      <w:r>
        <w:rPr>
          <w:rFonts w:hint="eastAsia"/>
        </w:rPr>
        <w:t>蓄电池-起动电机系统</w:t>
      </w:r>
      <w:bookmarkEnd w:id="54"/>
      <w:bookmarkEnd w:id="55"/>
      <w:bookmarkEnd w:id="56"/>
      <w:bookmarkEnd w:id="57"/>
    </w:p>
    <w:p w14:paraId="7C044D68">
      <w:pPr>
        <w:pStyle w:val="25"/>
        <w:ind w:firstLine="420"/>
        <w:rPr>
          <w:rFonts w:ascii="Times New Roman" w:hAnsi="Times New Roman"/>
        </w:rPr>
      </w:pPr>
      <w:bookmarkStart w:id="58" w:name="_Toc198733065"/>
      <w:r>
        <w:rPr>
          <w:rFonts w:ascii="Times New Roman" w:hAnsi="Times New Roman"/>
        </w:rPr>
        <w:t>与发动机配套的蓄电池，其容量应保证在发动机规定的使用温度范围内，具体应符合GB/T 1147.2的规定或制造厂的要求。</w:t>
      </w:r>
    </w:p>
    <w:p w14:paraId="63A7921F">
      <w:pPr>
        <w:pStyle w:val="25"/>
        <w:ind w:firstLine="420"/>
        <w:rPr>
          <w:rFonts w:ascii="Times New Roman" w:hAnsi="Times New Roman"/>
        </w:rPr>
      </w:pPr>
      <w:r>
        <w:rPr>
          <w:rFonts w:ascii="Times New Roman" w:hAnsi="Times New Roman"/>
        </w:rPr>
        <w:t>试验用起动电机应符合QC/T 731-2005的规定或制造厂的要求。</w:t>
      </w:r>
    </w:p>
    <w:p w14:paraId="6A6EC163">
      <w:pPr>
        <w:pStyle w:val="38"/>
        <w:rPr>
          <w:rFonts w:hint="eastAsia"/>
        </w:rPr>
      </w:pPr>
      <w:bookmarkStart w:id="59" w:name="_Toc390"/>
      <w:bookmarkStart w:id="60" w:name="_Toc9985"/>
      <w:bookmarkStart w:id="61" w:name="_Toc30009"/>
      <w:bookmarkStart w:id="62" w:name="_Toc6451"/>
      <w:r>
        <w:rPr>
          <w:rFonts w:hint="eastAsia"/>
        </w:rPr>
        <w:t>4.4　</w:t>
      </w:r>
      <w:bookmarkEnd w:id="58"/>
      <w:r>
        <w:rPr>
          <w:rFonts w:hint="eastAsia"/>
        </w:rPr>
        <w:t>起动辅助措施</w:t>
      </w:r>
      <w:bookmarkEnd w:id="59"/>
      <w:bookmarkEnd w:id="60"/>
      <w:bookmarkEnd w:id="61"/>
      <w:bookmarkEnd w:id="62"/>
    </w:p>
    <w:p w14:paraId="2729E01E">
      <w:pPr>
        <w:pStyle w:val="25"/>
        <w:ind w:firstLine="420"/>
        <w:rPr>
          <w:rFonts w:ascii="Times New Roman" w:hAnsi="Times New Roman"/>
        </w:rPr>
      </w:pPr>
      <w:r>
        <w:rPr>
          <w:rFonts w:ascii="Times New Roman" w:hAnsi="Times New Roman"/>
        </w:rPr>
        <w:t>试验用起动辅助措施应符合GB/T 1147.2附录A的要求，制造厂需根据发动机使用的海拔高度、环境温度，配备必要的起动辅助措施。</w:t>
      </w:r>
    </w:p>
    <w:p w14:paraId="0E787592">
      <w:pPr>
        <w:pStyle w:val="38"/>
        <w:rPr>
          <w:rFonts w:hint="eastAsia"/>
        </w:rPr>
      </w:pPr>
      <w:bookmarkStart w:id="63" w:name="_Toc16585"/>
      <w:bookmarkStart w:id="64" w:name="_Toc24950"/>
      <w:bookmarkStart w:id="65" w:name="_Toc11696"/>
      <w:bookmarkStart w:id="66" w:name="_Toc5996"/>
      <w:r>
        <w:rPr>
          <w:rFonts w:hint="eastAsia"/>
        </w:rPr>
        <w:t>4.5　发动机冷起动测试设备要求</w:t>
      </w:r>
      <w:bookmarkEnd w:id="63"/>
      <w:bookmarkEnd w:id="64"/>
      <w:bookmarkEnd w:id="65"/>
      <w:bookmarkEnd w:id="66"/>
    </w:p>
    <w:p w14:paraId="01101685">
      <w:pPr>
        <w:pStyle w:val="25"/>
        <w:ind w:firstLine="0" w:firstLineChars="0"/>
        <w:rPr>
          <w:rFonts w:hint="eastAsia" w:ascii="Times New Roman" w:hAnsi="Times New Roman" w:eastAsia="宋体"/>
          <w:lang w:eastAsia="zh-CN"/>
        </w:rPr>
      </w:pPr>
      <w:r>
        <w:rPr>
          <w:rFonts w:ascii="Times New Roman" w:hAnsi="Times New Roman" w:eastAsia="黑体"/>
        </w:rPr>
        <w:t>4.5.1　</w:t>
      </w:r>
      <w:r>
        <w:rPr>
          <w:rFonts w:ascii="Times New Roman" w:hAnsi="Times New Roman"/>
        </w:rPr>
        <w:t>试验用测试设备、仪器仪表需经有资质的计量单位鉴定或校准合格，并在有效期内，同时发动机测量仪器范围及精度应符合GB/T 21404或GB/T 1147.2中附录A的规定</w:t>
      </w:r>
      <w:r>
        <w:rPr>
          <w:rFonts w:hint="eastAsia" w:ascii="Times New Roman" w:hAnsi="Times New Roman"/>
          <w:lang w:eastAsia="zh-CN"/>
        </w:rPr>
        <w:t>；</w:t>
      </w:r>
    </w:p>
    <w:p w14:paraId="6155CF52">
      <w:pPr>
        <w:pStyle w:val="25"/>
        <w:ind w:firstLine="0" w:firstLineChars="0"/>
        <w:rPr>
          <w:rFonts w:ascii="Times New Roman" w:hAnsi="Times New Roman"/>
        </w:rPr>
      </w:pPr>
      <w:r>
        <w:rPr>
          <w:rFonts w:ascii="Times New Roman" w:hAnsi="Times New Roman" w:eastAsia="黑体"/>
        </w:rPr>
        <w:t>4.5.2　</w:t>
      </w:r>
      <w:r>
        <w:rPr>
          <w:rFonts w:ascii="Times New Roman" w:hAnsi="Times New Roman"/>
        </w:rPr>
        <w:t>发动机环境温度、进气温度、燃油温度可通过温控装置模拟，温控精度≤±1℃；</w:t>
      </w:r>
    </w:p>
    <w:p w14:paraId="6A8A8BA9">
      <w:pPr>
        <w:pStyle w:val="25"/>
        <w:ind w:firstLine="0" w:firstLineChars="0"/>
        <w:rPr>
          <w:rFonts w:ascii="Times New Roman" w:hAnsi="Times New Roman"/>
        </w:rPr>
      </w:pPr>
      <w:r>
        <w:rPr>
          <w:rFonts w:ascii="Times New Roman" w:hAnsi="Times New Roman" w:eastAsia="黑体"/>
        </w:rPr>
        <w:t>4.5.3　</w:t>
      </w:r>
      <w:r>
        <w:rPr>
          <w:rFonts w:ascii="Times New Roman" w:hAnsi="Times New Roman"/>
        </w:rPr>
        <w:t>采用符合T/CSICE 002—2023附录C要求或具备环境模拟功能的发动机试验台架时，海拔模拟误差不超过200m（模拟压力精度≤±2kPa）；</w:t>
      </w:r>
    </w:p>
    <w:p w14:paraId="46C47B23">
      <w:pPr>
        <w:pStyle w:val="25"/>
        <w:ind w:firstLine="0" w:firstLineChars="0"/>
        <w:rPr>
          <w:rFonts w:ascii="Times New Roman" w:hAnsi="Times New Roman"/>
        </w:rPr>
      </w:pPr>
      <w:r>
        <w:rPr>
          <w:rFonts w:ascii="Times New Roman" w:hAnsi="Times New Roman" w:eastAsia="黑体"/>
        </w:rPr>
        <w:t>4.5.4　</w:t>
      </w:r>
      <w:r>
        <w:rPr>
          <w:rFonts w:ascii="Times New Roman" w:hAnsi="Times New Roman"/>
        </w:rPr>
        <w:t>采用液压加载装置开展冷起动加载测试时，需符合附录B的要求，起动负载控制精度≤±10N·m。</w:t>
      </w:r>
    </w:p>
    <w:p w14:paraId="6E046942">
      <w:pPr>
        <w:pStyle w:val="39"/>
        <w:rPr>
          <w:rFonts w:hint="eastAsia"/>
        </w:rPr>
      </w:pPr>
      <w:bookmarkStart w:id="67" w:name="_Toc198733066"/>
      <w:bookmarkStart w:id="68" w:name="_Toc16671"/>
      <w:bookmarkStart w:id="69" w:name="_Toc25109"/>
      <w:bookmarkStart w:id="70" w:name="_Toc18802"/>
      <w:bookmarkStart w:id="71" w:name="_Toc32306"/>
      <w:r>
        <w:rPr>
          <w:rFonts w:hint="eastAsia"/>
        </w:rPr>
        <w:t>5　</w:t>
      </w:r>
      <w:bookmarkEnd w:id="67"/>
      <w:r>
        <w:rPr>
          <w:rFonts w:hint="eastAsia"/>
        </w:rPr>
        <w:t>试验方法</w:t>
      </w:r>
      <w:bookmarkEnd w:id="68"/>
      <w:bookmarkEnd w:id="69"/>
      <w:bookmarkEnd w:id="70"/>
      <w:bookmarkEnd w:id="71"/>
    </w:p>
    <w:p w14:paraId="22B3F1AC">
      <w:pPr>
        <w:pStyle w:val="38"/>
        <w:rPr>
          <w:rFonts w:hint="eastAsia"/>
        </w:rPr>
      </w:pPr>
      <w:bookmarkStart w:id="72" w:name="_Toc198733067"/>
      <w:bookmarkStart w:id="73" w:name="_Toc13559"/>
      <w:bookmarkStart w:id="74" w:name="_Toc1624"/>
      <w:bookmarkStart w:id="75" w:name="_Toc19640"/>
      <w:bookmarkStart w:id="76" w:name="_Toc29805"/>
      <w:r>
        <w:rPr>
          <w:rFonts w:hint="eastAsia"/>
        </w:rPr>
        <w:t>5.1　</w:t>
      </w:r>
      <w:bookmarkEnd w:id="72"/>
      <w:r>
        <w:rPr>
          <w:rFonts w:hint="eastAsia"/>
        </w:rPr>
        <w:t>试验前准备</w:t>
      </w:r>
      <w:bookmarkEnd w:id="73"/>
      <w:bookmarkEnd w:id="74"/>
      <w:bookmarkEnd w:id="75"/>
      <w:bookmarkEnd w:id="76"/>
    </w:p>
    <w:p w14:paraId="38EA36D0">
      <w:pPr>
        <w:pStyle w:val="25"/>
        <w:ind w:firstLine="420"/>
        <w:rPr>
          <w:rFonts w:ascii="Times New Roman" w:hAnsi="Times New Roman"/>
        </w:rPr>
      </w:pPr>
      <w:r>
        <w:rPr>
          <w:rFonts w:ascii="Times New Roman" w:hAnsi="Times New Roman"/>
        </w:rPr>
        <w:t>试验前发动机检查、低温用润滑油/燃油/冷却液更换、蓄电池预处理。</w:t>
      </w:r>
    </w:p>
    <w:p w14:paraId="19D42083">
      <w:pPr>
        <w:pStyle w:val="38"/>
        <w:rPr>
          <w:rFonts w:hint="eastAsia"/>
        </w:rPr>
      </w:pPr>
      <w:bookmarkStart w:id="77" w:name="_Toc198733069"/>
      <w:bookmarkStart w:id="78" w:name="_Toc18938"/>
      <w:bookmarkStart w:id="79" w:name="_Toc29987"/>
      <w:bookmarkStart w:id="80" w:name="_Toc16333"/>
      <w:bookmarkStart w:id="81" w:name="_Toc192"/>
      <w:r>
        <w:rPr>
          <w:rFonts w:hint="eastAsia"/>
        </w:rPr>
        <w:t>5.2　</w:t>
      </w:r>
      <w:bookmarkEnd w:id="77"/>
      <w:r>
        <w:rPr>
          <w:rFonts w:hint="eastAsia"/>
        </w:rPr>
        <w:t>数据记录要求</w:t>
      </w:r>
      <w:bookmarkEnd w:id="78"/>
      <w:bookmarkEnd w:id="79"/>
      <w:bookmarkEnd w:id="80"/>
      <w:bookmarkEnd w:id="81"/>
    </w:p>
    <w:p w14:paraId="6D76B482">
      <w:pPr>
        <w:pStyle w:val="25"/>
        <w:ind w:firstLine="420"/>
        <w:rPr>
          <w:rFonts w:ascii="Times New Roman" w:hAnsi="Times New Roman"/>
        </w:rPr>
      </w:pPr>
      <w:r>
        <w:rPr>
          <w:rFonts w:ascii="Times New Roman" w:hAnsi="Times New Roman"/>
        </w:rPr>
        <w:t>进行发动机高原冷起动测试时，需按照GB/T 18297中8.1.4.1的要求进行数据记录；</w:t>
      </w:r>
    </w:p>
    <w:p w14:paraId="5889787E">
      <w:pPr>
        <w:pStyle w:val="25"/>
        <w:ind w:firstLine="420"/>
        <w:rPr>
          <w:rFonts w:ascii="Times New Roman" w:hAnsi="Times New Roman"/>
        </w:rPr>
      </w:pPr>
      <w:r>
        <w:rPr>
          <w:rFonts w:ascii="Times New Roman" w:hAnsi="Times New Roman"/>
        </w:rPr>
        <w:t>进行发动机高原冷起动加载测试时，除按照GB/T 18297中8.1.4.1的要求进行发动机数据记录外，还应监测液压加载装置附加力矩、转速、液压油温度压力等液压系统的数据。</w:t>
      </w:r>
    </w:p>
    <w:p w14:paraId="7BE054D3">
      <w:pPr>
        <w:pStyle w:val="38"/>
        <w:rPr>
          <w:rFonts w:hint="eastAsia"/>
        </w:rPr>
      </w:pPr>
      <w:bookmarkStart w:id="82" w:name="_Toc23779"/>
      <w:bookmarkStart w:id="83" w:name="_Toc198733073"/>
      <w:bookmarkStart w:id="84" w:name="_Toc4872"/>
      <w:bookmarkStart w:id="85" w:name="_Toc3454"/>
      <w:bookmarkStart w:id="86" w:name="_Toc14785"/>
      <w:r>
        <w:rPr>
          <w:rFonts w:hint="eastAsia"/>
        </w:rPr>
        <w:t>5.3　</w:t>
      </w:r>
      <w:bookmarkEnd w:id="82"/>
      <w:bookmarkEnd w:id="83"/>
      <w:bookmarkEnd w:id="84"/>
      <w:bookmarkEnd w:id="85"/>
      <w:r>
        <w:rPr>
          <w:rFonts w:hint="eastAsia"/>
        </w:rPr>
        <w:t>发动机预处理</w:t>
      </w:r>
      <w:bookmarkEnd w:id="86"/>
    </w:p>
    <w:p w14:paraId="297F4C88">
      <w:pPr>
        <w:pStyle w:val="25"/>
        <w:ind w:firstLine="420"/>
        <w:rPr>
          <w:rFonts w:ascii="Times New Roman" w:hAnsi="Times New Roman"/>
        </w:rPr>
      </w:pPr>
      <w:r>
        <w:rPr>
          <w:rFonts w:ascii="Times New Roman" w:hAnsi="Times New Roman"/>
        </w:rPr>
        <w:t>按照GB/T 1147.2附录A中要求执行发动机预处理，试验准备完成后需常温运转，待润滑油温度升至40℃、冷却液升高至60℃以上停机。</w:t>
      </w:r>
    </w:p>
    <w:p w14:paraId="3090C505">
      <w:pPr>
        <w:pStyle w:val="38"/>
        <w:rPr>
          <w:rFonts w:hint="eastAsia"/>
        </w:rPr>
      </w:pPr>
      <w:bookmarkStart w:id="87" w:name="_Toc198733076"/>
      <w:bookmarkStart w:id="88" w:name="_Toc26345"/>
      <w:bookmarkStart w:id="89" w:name="_Toc32138"/>
      <w:bookmarkStart w:id="90" w:name="_Toc27217"/>
      <w:bookmarkStart w:id="91" w:name="_Toc17087"/>
      <w:r>
        <w:rPr>
          <w:rFonts w:hint="eastAsia"/>
        </w:rPr>
        <w:t>5.4　</w:t>
      </w:r>
      <w:bookmarkEnd w:id="87"/>
      <w:r>
        <w:rPr>
          <w:rFonts w:hint="eastAsia"/>
        </w:rPr>
        <w:t>试验程序</w:t>
      </w:r>
      <w:bookmarkEnd w:id="88"/>
      <w:bookmarkEnd w:id="89"/>
      <w:bookmarkEnd w:id="90"/>
      <w:bookmarkEnd w:id="91"/>
    </w:p>
    <w:p w14:paraId="7F9DD1AA">
      <w:pPr>
        <w:pStyle w:val="40"/>
        <w:rPr>
          <w:rFonts w:hint="eastAsia"/>
        </w:rPr>
      </w:pPr>
      <w:bookmarkStart w:id="92" w:name="_Toc198733077"/>
      <w:bookmarkStart w:id="93" w:name="_Toc16679"/>
      <w:bookmarkStart w:id="94" w:name="_Toc25377"/>
      <w:bookmarkStart w:id="95" w:name="_Toc11517"/>
      <w:bookmarkStart w:id="96" w:name="_Toc25077"/>
      <w:r>
        <w:rPr>
          <w:rFonts w:hint="eastAsia"/>
        </w:rPr>
        <w:t>5.4.1　</w:t>
      </w:r>
      <w:bookmarkEnd w:id="92"/>
      <w:r>
        <w:rPr>
          <w:rFonts w:hint="eastAsia"/>
        </w:rPr>
        <w:t>高原冷起动测试</w:t>
      </w:r>
      <w:bookmarkEnd w:id="93"/>
      <w:bookmarkEnd w:id="94"/>
      <w:bookmarkEnd w:id="95"/>
      <w:bookmarkEnd w:id="96"/>
    </w:p>
    <w:p w14:paraId="4DD73840">
      <w:pPr>
        <w:pStyle w:val="25"/>
        <w:numPr>
          <w:ilvl w:val="0"/>
          <w:numId w:val="2"/>
        </w:numPr>
        <w:ind w:firstLineChars="0"/>
        <w:rPr>
          <w:rFonts w:ascii="Times New Roman" w:hAnsi="Times New Roman"/>
          <w:szCs w:val="21"/>
        </w:rPr>
      </w:pPr>
      <w:r>
        <w:rPr>
          <w:rFonts w:ascii="Times New Roman" w:hAnsi="Times New Roman"/>
          <w:kern w:val="2"/>
          <w:szCs w:val="21"/>
        </w:rPr>
        <w:t>发动机冷冻静置：</w:t>
      </w:r>
      <w:r>
        <w:rPr>
          <w:rFonts w:ascii="Times New Roman" w:hAnsi="Times New Roman"/>
        </w:rPr>
        <w:t>在高原环境下冷冻静置8h以上，环境温度按4.1的规定执行</w:t>
      </w:r>
      <w:r>
        <w:rPr>
          <w:rFonts w:ascii="Times New Roman" w:hAnsi="Times New Roman"/>
          <w:kern w:val="2"/>
          <w:szCs w:val="21"/>
        </w:rPr>
        <w:t>；</w:t>
      </w:r>
    </w:p>
    <w:p w14:paraId="0E50C96F">
      <w:pPr>
        <w:pStyle w:val="25"/>
        <w:numPr>
          <w:ilvl w:val="0"/>
          <w:numId w:val="2"/>
        </w:numPr>
        <w:ind w:firstLineChars="0"/>
        <w:rPr>
          <w:rFonts w:ascii="Times New Roman" w:hAnsi="Times New Roman"/>
          <w:szCs w:val="21"/>
        </w:rPr>
      </w:pPr>
      <w:r>
        <w:rPr>
          <w:rFonts w:ascii="Times New Roman" w:hAnsi="Times New Roman"/>
          <w:szCs w:val="21"/>
        </w:rPr>
        <w:t>数据记录：按5.2的要求进行数据，若起动之前进行预备起动操作，需记录预动作时间，采样频率为100ms；</w:t>
      </w:r>
    </w:p>
    <w:p w14:paraId="754A265C">
      <w:pPr>
        <w:pStyle w:val="25"/>
        <w:numPr>
          <w:ilvl w:val="0"/>
          <w:numId w:val="2"/>
        </w:numPr>
        <w:ind w:firstLineChars="0"/>
        <w:rPr>
          <w:rFonts w:ascii="Times New Roman" w:hAnsi="Times New Roman"/>
          <w:szCs w:val="21"/>
        </w:rPr>
      </w:pPr>
      <w:r>
        <w:rPr>
          <w:rFonts w:ascii="Times New Roman" w:hAnsi="Times New Roman"/>
          <w:szCs w:val="21"/>
        </w:rPr>
        <w:t>起动预热：起动辅助装置按照GB/T 1147.2附录A的要求或</w:t>
      </w:r>
      <w:r>
        <w:rPr>
          <w:rFonts w:ascii="Times New Roman" w:hAnsi="Times New Roman"/>
        </w:rPr>
        <w:t>制造厂要求</w:t>
      </w:r>
      <w:r>
        <w:rPr>
          <w:rFonts w:ascii="Times New Roman" w:hAnsi="Times New Roman"/>
          <w:szCs w:val="21"/>
        </w:rPr>
        <w:t>操作；</w:t>
      </w:r>
    </w:p>
    <w:p w14:paraId="348F46A4">
      <w:pPr>
        <w:pStyle w:val="25"/>
        <w:numPr>
          <w:ilvl w:val="0"/>
          <w:numId w:val="2"/>
        </w:numPr>
        <w:ind w:firstLineChars="0"/>
        <w:rPr>
          <w:rFonts w:ascii="Times New Roman" w:hAnsi="Times New Roman"/>
          <w:szCs w:val="21"/>
        </w:rPr>
      </w:pPr>
      <w:r>
        <w:rPr>
          <w:rFonts w:ascii="Times New Roman" w:hAnsi="Times New Roman"/>
          <w:szCs w:val="21"/>
        </w:rPr>
        <w:t>试验方法：按照GB/T 18297中8.1.3的试验方法启动起动机拖动发动机，单次拖动时间≤20s，发动机自行运转15s以上不熄火，则认为起动成功；若起动失败，按制造厂使用说明规定程序再次进行设置和操作，进行下一次起动，若3次起动失败，则终止试验；</w:t>
      </w:r>
    </w:p>
    <w:p w14:paraId="754CA072">
      <w:pPr>
        <w:pStyle w:val="25"/>
        <w:numPr>
          <w:ilvl w:val="0"/>
          <w:numId w:val="2"/>
        </w:numPr>
        <w:ind w:firstLineChars="0"/>
        <w:rPr>
          <w:rFonts w:ascii="Times New Roman" w:hAnsi="Times New Roman"/>
          <w:szCs w:val="21"/>
        </w:rPr>
      </w:pPr>
      <w:r>
        <w:rPr>
          <w:rFonts w:ascii="Times New Roman" w:hAnsi="Times New Roman"/>
          <w:szCs w:val="21"/>
        </w:rPr>
        <w:t>起动判定：每一试验温度需重复进行3次起动测试，其中应有2次起动成功。如果前2次起动成功，可不再进行第3次起动，具体判定</w:t>
      </w:r>
      <w:r>
        <w:rPr>
          <w:rFonts w:ascii="Times New Roman" w:hAnsi="Times New Roman"/>
          <w:kern w:val="2"/>
          <w:szCs w:val="21"/>
        </w:rPr>
        <w:t>按照GB/T 1147.2附录A中要求执行；</w:t>
      </w:r>
    </w:p>
    <w:p w14:paraId="5439BFB9">
      <w:pPr>
        <w:pStyle w:val="25"/>
        <w:numPr>
          <w:ilvl w:val="0"/>
          <w:numId w:val="2"/>
        </w:numPr>
        <w:ind w:firstLineChars="0"/>
        <w:rPr>
          <w:rFonts w:ascii="Times New Roman" w:hAnsi="Times New Roman"/>
          <w:szCs w:val="21"/>
        </w:rPr>
      </w:pPr>
      <w:r>
        <w:rPr>
          <w:rFonts w:ascii="Times New Roman" w:hAnsi="Times New Roman"/>
          <w:szCs w:val="21"/>
        </w:rPr>
        <w:t>热机工况：在40%～80%的额定转速下运行5min，消除缸内残油。</w:t>
      </w:r>
    </w:p>
    <w:p w14:paraId="51A16C22">
      <w:pPr>
        <w:pStyle w:val="40"/>
        <w:rPr>
          <w:rFonts w:hint="eastAsia"/>
        </w:rPr>
      </w:pPr>
      <w:bookmarkStart w:id="97" w:name="_Toc198733079"/>
      <w:bookmarkStart w:id="98" w:name="_Toc20343"/>
      <w:bookmarkStart w:id="99" w:name="_Toc28314"/>
      <w:bookmarkStart w:id="100" w:name="_Toc4913"/>
      <w:bookmarkStart w:id="101" w:name="_Toc3687"/>
      <w:r>
        <w:rPr>
          <w:rFonts w:hint="eastAsia"/>
        </w:rPr>
        <w:t>5.4.2　</w:t>
      </w:r>
      <w:bookmarkEnd w:id="97"/>
      <w:r>
        <w:rPr>
          <w:rFonts w:hint="eastAsia"/>
        </w:rPr>
        <w:t>高原冷起动加载测试</w:t>
      </w:r>
      <w:bookmarkEnd w:id="98"/>
      <w:bookmarkEnd w:id="99"/>
      <w:bookmarkEnd w:id="100"/>
      <w:bookmarkEnd w:id="101"/>
    </w:p>
    <w:p w14:paraId="1CE17E1D">
      <w:pPr>
        <w:pStyle w:val="25"/>
        <w:numPr>
          <w:ilvl w:val="0"/>
          <w:numId w:val="3"/>
        </w:numPr>
        <w:ind w:firstLineChars="0"/>
        <w:rPr>
          <w:rFonts w:ascii="Times New Roman" w:hAnsi="Times New Roman"/>
          <w:szCs w:val="21"/>
        </w:rPr>
      </w:pPr>
      <w:r>
        <w:rPr>
          <w:rFonts w:ascii="Times New Roman" w:hAnsi="Times New Roman"/>
          <w:kern w:val="2"/>
          <w:szCs w:val="21"/>
        </w:rPr>
        <w:t>发动机静置：</w:t>
      </w:r>
      <w:r>
        <w:rPr>
          <w:rFonts w:ascii="Times New Roman" w:hAnsi="Times New Roman"/>
        </w:rPr>
        <w:t>在高原环境下冷冻静置8h以上，环境温度按4.1的规定执行</w:t>
      </w:r>
      <w:r>
        <w:rPr>
          <w:rFonts w:ascii="Times New Roman" w:hAnsi="Times New Roman"/>
          <w:kern w:val="2"/>
          <w:szCs w:val="21"/>
        </w:rPr>
        <w:t>；</w:t>
      </w:r>
    </w:p>
    <w:p w14:paraId="3A61E03D">
      <w:pPr>
        <w:pStyle w:val="25"/>
        <w:numPr>
          <w:ilvl w:val="0"/>
          <w:numId w:val="3"/>
        </w:numPr>
        <w:ind w:firstLineChars="0"/>
        <w:rPr>
          <w:rFonts w:ascii="Times New Roman" w:hAnsi="Times New Roman"/>
          <w:szCs w:val="21"/>
        </w:rPr>
      </w:pPr>
      <w:r>
        <w:rPr>
          <w:rFonts w:ascii="Times New Roman" w:hAnsi="Times New Roman"/>
          <w:szCs w:val="21"/>
        </w:rPr>
        <w:t>数据记录：按5.2的要求进行数据记录，若起动之前进行预备起动操作，需记录预动作时间，采样频率为100ms；</w:t>
      </w:r>
    </w:p>
    <w:p w14:paraId="68B70916">
      <w:pPr>
        <w:pStyle w:val="25"/>
        <w:numPr>
          <w:ilvl w:val="0"/>
          <w:numId w:val="3"/>
        </w:numPr>
        <w:ind w:firstLineChars="0"/>
        <w:rPr>
          <w:rFonts w:ascii="Times New Roman" w:hAnsi="Times New Roman"/>
          <w:szCs w:val="21"/>
        </w:rPr>
      </w:pPr>
      <w:r>
        <w:rPr>
          <w:rFonts w:ascii="Times New Roman" w:hAnsi="Times New Roman"/>
          <w:szCs w:val="21"/>
        </w:rPr>
        <w:t>附加起动负载：调节液压加载装置，附加给发动机主轴一个相反的力矩，力矩根据厂家的要求执行；</w:t>
      </w:r>
    </w:p>
    <w:p w14:paraId="15ACBE22">
      <w:pPr>
        <w:pStyle w:val="25"/>
        <w:numPr>
          <w:ilvl w:val="0"/>
          <w:numId w:val="3"/>
        </w:numPr>
        <w:ind w:firstLineChars="0"/>
        <w:rPr>
          <w:rFonts w:ascii="Times New Roman" w:hAnsi="Times New Roman"/>
          <w:szCs w:val="21"/>
        </w:rPr>
      </w:pPr>
      <w:r>
        <w:rPr>
          <w:rFonts w:ascii="Times New Roman" w:hAnsi="Times New Roman"/>
          <w:szCs w:val="21"/>
        </w:rPr>
        <w:t>起动预热：起动辅助装置按照GB/T 1147.2附录A的要求或</w:t>
      </w:r>
      <w:r>
        <w:rPr>
          <w:rFonts w:ascii="Times New Roman" w:hAnsi="Times New Roman"/>
        </w:rPr>
        <w:t>制造厂要求</w:t>
      </w:r>
      <w:r>
        <w:rPr>
          <w:rFonts w:ascii="Times New Roman" w:hAnsi="Times New Roman"/>
          <w:szCs w:val="21"/>
        </w:rPr>
        <w:t>操作；</w:t>
      </w:r>
      <w:bookmarkStart w:id="121" w:name="_GoBack"/>
      <w:bookmarkEnd w:id="121"/>
    </w:p>
    <w:p w14:paraId="61802AD2">
      <w:pPr>
        <w:pStyle w:val="25"/>
        <w:numPr>
          <w:ilvl w:val="0"/>
          <w:numId w:val="3"/>
        </w:numPr>
        <w:ind w:firstLineChars="0"/>
        <w:rPr>
          <w:rFonts w:ascii="Times New Roman" w:hAnsi="Times New Roman"/>
          <w:szCs w:val="21"/>
        </w:rPr>
      </w:pPr>
      <w:r>
        <w:rPr>
          <w:rFonts w:ascii="Times New Roman" w:hAnsi="Times New Roman"/>
          <w:szCs w:val="21"/>
        </w:rPr>
        <w:t>试验方法：按照GB/T 18297中8.1.3的试验方法启动起动机拖动发动机，单次拖动时间≤30s，发动机自行运转15s以上不熄火，则认为起动成功；若起动失败，按制造厂使用说明的规定程序再次进行设置和操作，进行下一次起动，若3次起动失败，则终止试验；</w:t>
      </w:r>
    </w:p>
    <w:p w14:paraId="6EBB25F4">
      <w:pPr>
        <w:pStyle w:val="25"/>
        <w:numPr>
          <w:ilvl w:val="0"/>
          <w:numId w:val="3"/>
        </w:numPr>
        <w:ind w:firstLineChars="0"/>
        <w:rPr>
          <w:rFonts w:ascii="Times New Roman" w:hAnsi="Times New Roman"/>
          <w:szCs w:val="21"/>
        </w:rPr>
      </w:pPr>
      <w:r>
        <w:rPr>
          <w:rFonts w:ascii="Times New Roman" w:hAnsi="Times New Roman"/>
          <w:szCs w:val="21"/>
        </w:rPr>
        <w:t>起动判定：每一试验温度需重复进行3次起动测试，其中应有2次起动成功。如果前2次起动成功，可不再进行第3次起动，具体判定按照GB/T 1147.2附录A中要求执行；</w:t>
      </w:r>
    </w:p>
    <w:p w14:paraId="27F260C4">
      <w:pPr>
        <w:pStyle w:val="25"/>
        <w:numPr>
          <w:ilvl w:val="0"/>
          <w:numId w:val="3"/>
        </w:numPr>
        <w:ind w:firstLineChars="0"/>
        <w:rPr>
          <w:rFonts w:ascii="Times New Roman" w:hAnsi="Times New Roman"/>
          <w:szCs w:val="21"/>
        </w:rPr>
      </w:pPr>
      <w:r>
        <w:rPr>
          <w:rFonts w:ascii="Times New Roman" w:hAnsi="Times New Roman"/>
          <w:szCs w:val="21"/>
        </w:rPr>
        <w:t>热机工况：在40%～80%的额定转速下运行5min，消除缸内残油；</w:t>
      </w:r>
    </w:p>
    <w:p w14:paraId="09B95C66">
      <w:pPr>
        <w:pStyle w:val="25"/>
        <w:numPr>
          <w:ilvl w:val="0"/>
          <w:numId w:val="3"/>
        </w:numPr>
        <w:ind w:firstLineChars="0"/>
        <w:rPr>
          <w:rFonts w:ascii="Times New Roman" w:hAnsi="Times New Roman"/>
          <w:szCs w:val="21"/>
        </w:rPr>
      </w:pPr>
      <w:r>
        <w:rPr>
          <w:rFonts w:ascii="Times New Roman" w:hAnsi="Times New Roman"/>
          <w:szCs w:val="21"/>
        </w:rPr>
        <w:t>极限负载测试：重新执行步骤a）~g），提高起动负载，直到发动机3次起动失败为止。</w:t>
      </w:r>
    </w:p>
    <w:p w14:paraId="53F588D0">
      <w:pPr>
        <w:pStyle w:val="38"/>
        <w:rPr>
          <w:rFonts w:hint="eastAsia"/>
        </w:rPr>
      </w:pPr>
      <w:bookmarkStart w:id="102" w:name="_Toc198733083"/>
      <w:bookmarkStart w:id="103" w:name="_Toc23186"/>
      <w:bookmarkStart w:id="104" w:name="_Toc16036"/>
      <w:bookmarkStart w:id="105" w:name="_Toc14218"/>
      <w:bookmarkStart w:id="106" w:name="_Toc10679"/>
      <w:r>
        <w:rPr>
          <w:rFonts w:hint="eastAsia"/>
        </w:rPr>
        <w:t>5.5　</w:t>
      </w:r>
      <w:bookmarkEnd w:id="102"/>
      <w:r>
        <w:rPr>
          <w:rFonts w:hint="eastAsia"/>
        </w:rPr>
        <w:t>数据处理及评价</w:t>
      </w:r>
      <w:bookmarkEnd w:id="103"/>
      <w:bookmarkEnd w:id="104"/>
      <w:bookmarkEnd w:id="105"/>
      <w:bookmarkEnd w:id="106"/>
    </w:p>
    <w:p w14:paraId="5E7EB336">
      <w:pPr>
        <w:pStyle w:val="25"/>
        <w:ind w:firstLine="420"/>
        <w:rPr>
          <w:rFonts w:ascii="Times New Roman" w:hAnsi="Times New Roman"/>
        </w:rPr>
      </w:pPr>
      <w:r>
        <w:rPr>
          <w:rFonts w:ascii="Times New Roman" w:hAnsi="Times New Roman"/>
        </w:rPr>
        <w:t>发动机起动过程需按GB/T 1147.2-2017中附录A.3.1的方法进行划分。</w:t>
      </w:r>
    </w:p>
    <w:p w14:paraId="1E4CF757">
      <w:pPr>
        <w:pStyle w:val="25"/>
        <w:ind w:firstLine="420"/>
        <w:rPr>
          <w:rFonts w:ascii="Times New Roman" w:hAnsi="Times New Roman"/>
        </w:rPr>
      </w:pPr>
      <w:r>
        <w:rPr>
          <w:rFonts w:ascii="Times New Roman" w:hAnsi="Times New Roman"/>
        </w:rPr>
        <w:t>起动过程为发动机靠外力拖动曲轴开始转动，直至发动机自行运转、转速开始持续上升时的阶段，起动时间则为起动过程所用时间，并按本标准附录C的要求报告结果。</w:t>
      </w:r>
    </w:p>
    <w:p w14:paraId="0F599FEB">
      <w:pPr>
        <w:pStyle w:val="54"/>
        <w:shd w:val="clear" w:color="FFFFFF" w:fill="FFFFFF"/>
        <w:rPr>
          <w:rFonts w:hint="eastAsia" w:ascii="黑体" w:hAnsi="黑体" w:eastAsia="黑体"/>
          <w:sz w:val="21"/>
          <w:szCs w:val="21"/>
        </w:rPr>
      </w:pPr>
      <w:bookmarkStart w:id="107" w:name="_Toc11263"/>
      <w:bookmarkStart w:id="108" w:name="_Toc15392"/>
      <w:bookmarkStart w:id="109" w:name="_Toc198733090"/>
      <w:bookmarkStart w:id="110" w:name="_Toc2704"/>
      <w:bookmarkStart w:id="111" w:name="_Toc7201"/>
      <w:r>
        <w:rPr>
          <w:rFonts w:hint="eastAsia"/>
        </w:rPr>
        <w:t>附　录　A</w:t>
      </w:r>
      <w:bookmarkEnd w:id="107"/>
      <w:bookmarkEnd w:id="108"/>
      <w:bookmarkEnd w:id="109"/>
      <w:bookmarkEnd w:id="110"/>
      <w:r>
        <w:rPr>
          <w:rFonts w:hint="eastAsia"/>
        </w:rPr>
        <w:br w:type="textWrapping"/>
      </w:r>
      <w:r>
        <w:rPr>
          <w:rFonts w:hint="eastAsia" w:ascii="黑体" w:hAnsi="黑体" w:eastAsia="黑体"/>
          <w:sz w:val="21"/>
          <w:szCs w:val="21"/>
        </w:rPr>
        <w:t>（规范性）</w:t>
      </w:r>
      <w:r>
        <w:rPr>
          <w:rFonts w:hint="eastAsia"/>
          <w:sz w:val="21"/>
          <w:szCs w:val="21"/>
        </w:rPr>
        <w:br w:type="textWrapping"/>
      </w:r>
      <w:r>
        <w:rPr>
          <w:rFonts w:hint="eastAsia" w:ascii="黑体" w:hAnsi="黑体" w:eastAsia="黑体"/>
          <w:sz w:val="21"/>
          <w:szCs w:val="21"/>
        </w:rPr>
        <w:t>注意事项</w:t>
      </w:r>
      <w:bookmarkEnd w:id="111"/>
    </w:p>
    <w:p w14:paraId="2179FE64">
      <w:pPr>
        <w:spacing w:before="312" w:beforeLines="100" w:after="312" w:afterLines="100"/>
        <w:rPr>
          <w:rFonts w:ascii="Times New Roman" w:hAnsi="Times New Roman" w:eastAsia="黑体" w:cs="Times New Roman"/>
          <w:szCs w:val="21"/>
        </w:rPr>
      </w:pPr>
      <w:r>
        <w:rPr>
          <w:rFonts w:ascii="Times New Roman" w:hAnsi="Times New Roman" w:eastAsia="黑体" w:cs="Times New Roman"/>
          <w:szCs w:val="21"/>
        </w:rPr>
        <w:t>A.1  燃料</w:t>
      </w:r>
    </w:p>
    <w:p w14:paraId="39DD81F2">
      <w:pPr>
        <w:ind w:firstLine="420" w:firstLineChars="200"/>
        <w:rPr>
          <w:rFonts w:ascii="Times New Roman" w:hAnsi="Times New Roman" w:cs="Times New Roman"/>
          <w:szCs w:val="21"/>
        </w:rPr>
      </w:pPr>
      <w:r>
        <w:rPr>
          <w:rFonts w:ascii="Times New Roman" w:hAnsi="Times New Roman" w:cs="Times New Roman"/>
          <w:szCs w:val="21"/>
        </w:rPr>
        <w:t>规范燃油管路布置，设置燃油温度、压力、泄露监测与报警装置，减少因不安全因素造成的安全事件。</w:t>
      </w:r>
    </w:p>
    <w:p w14:paraId="15106D7F">
      <w:pPr>
        <w:spacing w:before="312" w:beforeLines="100" w:after="312" w:afterLines="100"/>
        <w:rPr>
          <w:rFonts w:ascii="Times New Roman" w:hAnsi="Times New Roman" w:eastAsia="黑体" w:cs="Times New Roman"/>
          <w:szCs w:val="21"/>
        </w:rPr>
      </w:pPr>
      <w:r>
        <w:rPr>
          <w:rFonts w:ascii="Times New Roman" w:hAnsi="Times New Roman" w:eastAsia="黑体" w:cs="Times New Roman"/>
          <w:szCs w:val="21"/>
        </w:rPr>
        <w:t>A.2  机械安全</w:t>
      </w:r>
    </w:p>
    <w:p w14:paraId="7624BF7A">
      <w:pPr>
        <w:ind w:firstLine="420" w:firstLineChars="200"/>
        <w:rPr>
          <w:rFonts w:ascii="Times New Roman" w:hAnsi="Times New Roman" w:cs="Times New Roman"/>
          <w:szCs w:val="21"/>
        </w:rPr>
      </w:pPr>
      <w:r>
        <w:rPr>
          <w:rFonts w:ascii="Times New Roman" w:hAnsi="Times New Roman" w:cs="Times New Roman"/>
          <w:szCs w:val="21"/>
        </w:rPr>
        <w:t>发动机台架安装，做好紧固件安全状态标志，每次试验前做好点检，确保发动机各部件都处于安全链接状态。</w:t>
      </w:r>
    </w:p>
    <w:p w14:paraId="11ED2D45">
      <w:pPr>
        <w:spacing w:before="312" w:beforeLines="100" w:after="312" w:afterLines="100"/>
        <w:rPr>
          <w:rFonts w:ascii="Times New Roman" w:hAnsi="Times New Roman" w:eastAsia="黑体" w:cs="Times New Roman"/>
          <w:szCs w:val="21"/>
        </w:rPr>
      </w:pPr>
      <w:r>
        <w:rPr>
          <w:rFonts w:ascii="Times New Roman" w:hAnsi="Times New Roman" w:eastAsia="黑体" w:cs="Times New Roman"/>
          <w:szCs w:val="21"/>
        </w:rPr>
        <w:t>A.3  标气</w:t>
      </w:r>
    </w:p>
    <w:p w14:paraId="7EBDB2B7">
      <w:pPr>
        <w:ind w:firstLine="420" w:firstLineChars="200"/>
        <w:rPr>
          <w:rFonts w:ascii="Times New Roman" w:hAnsi="Times New Roman" w:cs="Times New Roman"/>
          <w:szCs w:val="21"/>
        </w:rPr>
      </w:pPr>
      <w:r>
        <w:rPr>
          <w:rFonts w:ascii="Times New Roman" w:hAnsi="Times New Roman" w:cs="Times New Roman"/>
          <w:szCs w:val="21"/>
        </w:rPr>
        <w:t>试验过程所用标气均需要单独存放，定期检查，标气间设置强制通风、气体浓度检查与报警装置，失效及不合规标气禁用。</w:t>
      </w:r>
    </w:p>
    <w:p w14:paraId="7E9DB194">
      <w:pPr>
        <w:rPr>
          <w:rStyle w:val="21"/>
          <w:rFonts w:ascii="Times New Roman" w:hAnsi="Times New Roman" w:cs="Times New Roman"/>
          <w:b w:val="0"/>
          <w:bCs/>
          <w:szCs w:val="21"/>
        </w:rPr>
      </w:pPr>
    </w:p>
    <w:p w14:paraId="159B7FF4">
      <w:pPr>
        <w:rPr>
          <w:rStyle w:val="21"/>
          <w:rFonts w:ascii="Times New Roman" w:hAnsi="Times New Roman" w:cs="Times New Roman"/>
          <w:b w:val="0"/>
          <w:bCs/>
          <w:szCs w:val="21"/>
        </w:rPr>
      </w:pPr>
    </w:p>
    <w:p w14:paraId="6E14DF17">
      <w:pPr>
        <w:rPr>
          <w:rStyle w:val="21"/>
          <w:rFonts w:ascii="Times New Roman" w:hAnsi="Times New Roman" w:cs="Times New Roman"/>
          <w:b w:val="0"/>
          <w:bCs/>
          <w:szCs w:val="21"/>
        </w:rPr>
        <w:sectPr>
          <w:headerReference r:id="rId15" w:type="first"/>
          <w:footerReference r:id="rId18" w:type="first"/>
          <w:headerReference r:id="rId13" w:type="default"/>
          <w:footerReference r:id="rId16" w:type="default"/>
          <w:headerReference r:id="rId14" w:type="even"/>
          <w:footerReference r:id="rId17" w:type="even"/>
          <w:pgSz w:w="11906" w:h="16838"/>
          <w:pgMar w:top="1418" w:right="1134" w:bottom="1134" w:left="1418" w:header="1418" w:footer="1134" w:gutter="0"/>
          <w:pgBorders>
            <w:top w:val="none" w:sz="0" w:space="0"/>
            <w:left w:val="none" w:sz="0" w:space="0"/>
            <w:bottom w:val="none" w:sz="0" w:space="0"/>
            <w:right w:val="none" w:sz="0" w:space="0"/>
          </w:pgBorders>
          <w:pgNumType w:fmt="decimal" w:start="1"/>
          <w:cols w:space="425" w:num="1"/>
          <w:docGrid w:type="lines" w:linePitch="312" w:charSpace="0"/>
        </w:sectPr>
      </w:pPr>
    </w:p>
    <w:p w14:paraId="2FF8096C">
      <w:pPr>
        <w:pStyle w:val="54"/>
        <w:shd w:val="clear" w:color="FFFFFF" w:fill="FFFFFF"/>
        <w:rPr>
          <w:rFonts w:hint="eastAsia" w:ascii="黑体" w:hAnsi="黑体" w:eastAsia="黑体"/>
          <w:sz w:val="21"/>
          <w:szCs w:val="21"/>
        </w:rPr>
      </w:pPr>
      <w:bookmarkStart w:id="112" w:name="_Toc30374"/>
      <w:bookmarkStart w:id="113" w:name="_Toc26883"/>
      <w:bookmarkStart w:id="114" w:name="_Toc7494"/>
      <w:bookmarkStart w:id="115" w:name="_Toc21909"/>
      <w:r>
        <w:rPr>
          <w:rFonts w:hint="eastAsia"/>
        </w:rPr>
        <w:t>附　录　B</w:t>
      </w:r>
      <w:bookmarkEnd w:id="112"/>
      <w:bookmarkEnd w:id="113"/>
      <w:bookmarkEnd w:id="114"/>
      <w:r>
        <w:rPr>
          <w:rFonts w:hint="eastAsia"/>
        </w:rPr>
        <w:br w:type="textWrapping"/>
      </w:r>
      <w:r>
        <w:rPr>
          <w:rFonts w:hint="eastAsia" w:ascii="黑体" w:hAnsi="黑体" w:eastAsia="黑体"/>
          <w:sz w:val="21"/>
          <w:szCs w:val="21"/>
        </w:rPr>
        <w:t>（资料性）</w:t>
      </w:r>
      <w:r>
        <w:rPr>
          <w:rFonts w:hint="eastAsia"/>
          <w:sz w:val="21"/>
          <w:szCs w:val="21"/>
        </w:rPr>
        <w:br w:type="textWrapping"/>
      </w:r>
      <w:r>
        <w:rPr>
          <w:rFonts w:hint="eastAsia" w:ascii="黑体" w:hAnsi="黑体" w:eastAsia="黑体"/>
          <w:sz w:val="21"/>
          <w:szCs w:val="21"/>
        </w:rPr>
        <w:t>冷起动液压加载装置技术要求</w:t>
      </w:r>
      <w:bookmarkEnd w:id="115"/>
    </w:p>
    <w:p w14:paraId="0CE224F6">
      <w:pPr>
        <w:spacing w:before="312" w:beforeLines="100" w:after="312" w:afterLines="100"/>
        <w:rPr>
          <w:rFonts w:ascii="Times New Roman" w:hAnsi="Times New Roman" w:eastAsia="黑体" w:cs="Times New Roman"/>
          <w:szCs w:val="21"/>
        </w:rPr>
      </w:pPr>
      <w:r>
        <w:rPr>
          <w:rFonts w:ascii="Times New Roman" w:hAnsi="Times New Roman" w:eastAsia="黑体" w:cs="Times New Roman"/>
          <w:szCs w:val="21"/>
        </w:rPr>
        <w:t>B.1  概述</w:t>
      </w:r>
    </w:p>
    <w:p w14:paraId="270A3997">
      <w:pPr>
        <w:widowControl/>
        <w:spacing w:line="360" w:lineRule="auto"/>
        <w:ind w:firstLine="420" w:firstLineChars="200"/>
        <w:jc w:val="left"/>
        <w:rPr>
          <w:rFonts w:ascii="Times New Roman" w:hAnsi="Times New Roman" w:cs="Times New Roman"/>
          <w:kern w:val="0"/>
          <w:szCs w:val="21"/>
          <w:lang w:bidi="ar"/>
        </w:rPr>
      </w:pPr>
      <w:r>
        <w:rPr>
          <w:rFonts w:ascii="Times New Roman" w:hAnsi="Times New Roman" w:cs="Times New Roman"/>
          <w:kern w:val="0"/>
          <w:szCs w:val="21"/>
          <w:lang w:bidi="ar"/>
        </w:rPr>
        <w:t>本附录规定了发动机冷起动液压加载装置的基本技术要求。考虑到发动机存在带载荷起动的实际工况，且需对发动机起动能力进行量化评估，特要求通过加载装置向发动机附加起动负载，以此确定发动机的起动失败临界点，并精准测量该临界点对应的负载力矩。鉴于实现起动加载力矩的原理与技术路径具有多样性，本附录不强制要求装置配置完全符合本文件规定，只需其起动加载力矩精度满足测试要求，即可用于发动机起动能力评估。</w:t>
      </w:r>
    </w:p>
    <w:p w14:paraId="1D049BAE">
      <w:pPr>
        <w:spacing w:before="312" w:beforeLines="100" w:after="312" w:afterLines="100"/>
        <w:rPr>
          <w:rFonts w:ascii="Times New Roman" w:hAnsi="Times New Roman" w:eastAsia="黑体" w:cs="Times New Roman"/>
          <w:szCs w:val="21"/>
        </w:rPr>
      </w:pPr>
      <w:r>
        <w:rPr>
          <w:rFonts w:ascii="Times New Roman" w:hAnsi="Times New Roman" w:eastAsia="黑体" w:cs="Times New Roman"/>
          <w:szCs w:val="21"/>
        </w:rPr>
        <w:t>B.2  发动机冷起动液压加载装置工作原理</w:t>
      </w:r>
    </w:p>
    <w:p w14:paraId="7C61200F">
      <w:pPr>
        <w:widowControl/>
        <w:spacing w:line="360" w:lineRule="auto"/>
        <w:ind w:firstLine="420" w:firstLineChars="200"/>
        <w:rPr>
          <w:rFonts w:ascii="Times New Roman" w:hAnsi="Times New Roman" w:cs="Times New Roman"/>
          <w:kern w:val="0"/>
          <w:szCs w:val="21"/>
          <w:lang w:bidi="ar"/>
        </w:rPr>
      </w:pPr>
      <w:r>
        <w:rPr>
          <w:rFonts w:ascii="Times New Roman" w:hAnsi="Times New Roman" w:cs="Times New Roman"/>
          <w:kern w:val="0"/>
          <w:szCs w:val="21"/>
          <w:lang w:bidi="ar"/>
        </w:rPr>
        <w:t>发动机冷起动加载装置的液压系统，亦可称为 “阻力加载系统”。该系统通过电液比例溢流阀或电液比例节流阀对负载力进行精准控制与调节，从而实现加载过程，其具体工作原理如图 B.1 所示，详细流程如下：</w:t>
      </w:r>
    </w:p>
    <w:p w14:paraId="2A26D41B">
      <w:pPr>
        <w:widowControl/>
        <w:spacing w:line="360" w:lineRule="auto"/>
        <w:ind w:firstLine="420" w:firstLineChars="200"/>
        <w:rPr>
          <w:rFonts w:ascii="Times New Roman" w:hAnsi="Times New Roman" w:cs="Times New Roman"/>
          <w:kern w:val="0"/>
          <w:szCs w:val="21"/>
          <w:lang w:bidi="ar"/>
        </w:rPr>
      </w:pPr>
      <w:r>
        <w:rPr>
          <w:rFonts w:ascii="Times New Roman" w:hAnsi="Times New Roman" w:cs="Times New Roman"/>
          <w:kern w:val="0"/>
          <w:szCs w:val="21"/>
          <w:lang w:bidi="ar"/>
        </w:rPr>
        <w:t>动力传递与泵体启动：发动机冷起动过程中产生的转矩，首先驱动扭矩仪旋转；扭矩仪进一步带动发动机冷起动加载装置中的轴向加载泵8运转，使加载泵正式进入 “泵工况” 工作状态。</w:t>
      </w:r>
    </w:p>
    <w:p w14:paraId="0D0755A3">
      <w:pPr>
        <w:widowControl/>
        <w:spacing w:line="360" w:lineRule="auto"/>
        <w:ind w:firstLine="420" w:firstLineChars="200"/>
        <w:rPr>
          <w:rFonts w:ascii="Times New Roman" w:hAnsi="Times New Roman" w:cs="Times New Roman"/>
          <w:kern w:val="0"/>
          <w:szCs w:val="21"/>
          <w:lang w:bidi="ar"/>
        </w:rPr>
      </w:pPr>
      <w:r>
        <w:rPr>
          <w:rFonts w:ascii="Times New Roman" w:hAnsi="Times New Roman" w:cs="Times New Roman"/>
          <w:kern w:val="0"/>
          <w:szCs w:val="21"/>
          <w:lang w:bidi="ar"/>
        </w:rPr>
        <w:t>液压油回路建立：处于泵工况的加载泵8从油箱1中吸入液压油，此时系统中的压力表可实时监测并显示加载泵8进油口的压力（即液压油从油箱吸出后的初始压力）。随后，液压油依次经过液压泵3、单向阀5及粗过滤器6，最终流入加载泵8，完成液压油路的导通。</w:t>
      </w:r>
    </w:p>
    <w:p w14:paraId="09FE6C3B">
      <w:pPr>
        <w:widowControl/>
        <w:spacing w:line="360" w:lineRule="auto"/>
        <w:ind w:firstLine="420" w:firstLineChars="200"/>
        <w:rPr>
          <w:rFonts w:ascii="Times New Roman" w:hAnsi="Times New Roman" w:cs="Times New Roman"/>
          <w:kern w:val="0"/>
          <w:szCs w:val="21"/>
          <w:lang w:bidi="ar"/>
        </w:rPr>
      </w:pPr>
      <w:r>
        <w:rPr>
          <w:rFonts w:ascii="Times New Roman" w:hAnsi="Times New Roman" w:cs="Times New Roman"/>
          <w:kern w:val="0"/>
          <w:szCs w:val="21"/>
          <w:lang w:bidi="ar"/>
        </w:rPr>
        <w:t>加载力生成与力矩平衡：若需使液压系统产生加载力，可通过调节比例溢流阀11的溢流压力实现 溢流压力调节后，加载泵8会随之形成稳定负载。由于发动机通过变速箱输出轴连接扭矩仪、并持续带动加载液压泵旋转，系统在克服该溢流负载的同时，会自动生成一个与发动机冷起动主轴转向相反的力矩，进而完成发动机冷起动的加载任务。</w:t>
      </w:r>
    </w:p>
    <w:p w14:paraId="235BD46E">
      <w:pPr>
        <w:pStyle w:val="9"/>
        <w:jc w:val="center"/>
        <w:rPr>
          <w:rFonts w:ascii="Times New Roman" w:hAnsi="Times New Roman" w:cs="Times New Roman"/>
        </w:rPr>
      </w:pPr>
      <w:r>
        <w:rPr>
          <w:rFonts w:ascii="Times New Roman" w:hAnsi="Times New Roman" w:cs="Times New Roman"/>
        </w:rPr>
        <w:drawing>
          <wp:inline distT="0" distB="0" distL="114300" distR="114300">
            <wp:extent cx="4089400" cy="2395855"/>
            <wp:effectExtent l="0" t="0" r="10160" b="12065"/>
            <wp:docPr id="2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
                    <pic:cNvPicPr>
                      <a:picLocks noChangeAspect="1"/>
                    </pic:cNvPicPr>
                  </pic:nvPicPr>
                  <pic:blipFill>
                    <a:blip r:embed="rId25"/>
                    <a:srcRect l="11886" r="10090" b="5788"/>
                    <a:stretch>
                      <a:fillRect/>
                    </a:stretch>
                  </pic:blipFill>
                  <pic:spPr>
                    <a:xfrm>
                      <a:off x="0" y="0"/>
                      <a:ext cx="4089400" cy="2395855"/>
                    </a:xfrm>
                    <a:prstGeom prst="rect">
                      <a:avLst/>
                    </a:prstGeom>
                    <a:noFill/>
                    <a:ln>
                      <a:noFill/>
                    </a:ln>
                  </pic:spPr>
                </pic:pic>
              </a:graphicData>
            </a:graphic>
          </wp:inline>
        </w:drawing>
      </w:r>
    </w:p>
    <w:p w14:paraId="79A44205">
      <w:pPr>
        <w:widowControl/>
        <w:spacing w:line="360" w:lineRule="auto"/>
        <w:jc w:val="center"/>
        <w:rPr>
          <w:rFonts w:ascii="Times New Roman" w:hAnsi="Times New Roman" w:cs="Times New Roman"/>
          <w:kern w:val="0"/>
          <w:szCs w:val="21"/>
          <w:lang w:bidi="ar"/>
        </w:rPr>
      </w:pPr>
      <w:r>
        <w:rPr>
          <w:rFonts w:ascii="Times New Roman" w:hAnsi="Times New Roman" w:cs="Times New Roman"/>
          <w:kern w:val="0"/>
          <w:szCs w:val="21"/>
          <w:lang w:bidi="ar"/>
        </w:rPr>
        <w:t>图B.1 液压加载装置系统工作原理</w:t>
      </w:r>
    </w:p>
    <w:p w14:paraId="7FA5C107">
      <w:pPr>
        <w:rPr>
          <w:rFonts w:ascii="Times New Roman" w:hAnsi="Times New Roman" w:cs="Times New Roman"/>
        </w:rPr>
      </w:pPr>
    </w:p>
    <w:p w14:paraId="58F424C7">
      <w:pPr>
        <w:jc w:val="center"/>
        <w:rPr>
          <w:rFonts w:ascii="Times New Roman" w:hAnsi="Times New Roman" w:cs="Times New Roman"/>
        </w:rPr>
      </w:pPr>
      <w:r>
        <w:rPr>
          <w:rFonts w:ascii="Times New Roman" w:hAnsi="Times New Roman" w:cs="Times New Roman"/>
        </w:rPr>
        <w:drawing>
          <wp:inline distT="0" distB="0" distL="114300" distR="114300">
            <wp:extent cx="4634230" cy="2127885"/>
            <wp:effectExtent l="12700" t="12700" r="16510" b="23495"/>
            <wp:docPr id="47"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6"/>
                    <pic:cNvPicPr>
                      <a:picLocks noChangeAspect="1"/>
                    </pic:cNvPicPr>
                  </pic:nvPicPr>
                  <pic:blipFill>
                    <a:blip r:embed="rId26"/>
                    <a:srcRect/>
                    <a:stretch>
                      <a:fillRect/>
                    </a:stretch>
                  </pic:blipFill>
                  <pic:spPr>
                    <a:xfrm>
                      <a:off x="0" y="0"/>
                      <a:ext cx="4634230" cy="2127885"/>
                    </a:xfrm>
                    <a:prstGeom prst="rect">
                      <a:avLst/>
                    </a:prstGeom>
                    <a:ln w="12700" cmpd="sng">
                      <a:solidFill>
                        <a:schemeClr val="accent1">
                          <a:shade val="50000"/>
                        </a:schemeClr>
                      </a:solidFill>
                      <a:prstDash val="solid"/>
                    </a:ln>
                  </pic:spPr>
                </pic:pic>
              </a:graphicData>
            </a:graphic>
          </wp:inline>
        </w:drawing>
      </w:r>
    </w:p>
    <w:p w14:paraId="77CD3BF8">
      <w:pPr>
        <w:widowControl/>
        <w:spacing w:line="360" w:lineRule="auto"/>
        <w:jc w:val="center"/>
        <w:rPr>
          <w:rFonts w:ascii="Times New Roman" w:hAnsi="Times New Roman" w:cs="Times New Roman"/>
          <w:kern w:val="0"/>
          <w:szCs w:val="21"/>
          <w:lang w:bidi="ar"/>
        </w:rPr>
      </w:pPr>
      <w:r>
        <w:rPr>
          <w:rFonts w:ascii="Times New Roman" w:hAnsi="Times New Roman" w:cs="Times New Roman"/>
          <w:kern w:val="0"/>
          <w:szCs w:val="21"/>
          <w:lang w:bidi="ar"/>
        </w:rPr>
        <w:t>图B.2 发动机冷起动液压加载装置总体结构</w:t>
      </w:r>
    </w:p>
    <w:p w14:paraId="2D6800E4">
      <w:pPr>
        <w:spacing w:before="312" w:beforeLines="100" w:after="312" w:afterLines="100"/>
        <w:rPr>
          <w:rFonts w:ascii="Times New Roman" w:hAnsi="Times New Roman" w:eastAsia="黑体" w:cs="Times New Roman"/>
          <w:szCs w:val="21"/>
        </w:rPr>
      </w:pPr>
      <w:r>
        <w:rPr>
          <w:rFonts w:ascii="Times New Roman" w:hAnsi="Times New Roman" w:eastAsia="黑体" w:cs="Times New Roman"/>
          <w:szCs w:val="21"/>
        </w:rPr>
        <w:t>B.3  使用前的要求</w:t>
      </w:r>
    </w:p>
    <w:p w14:paraId="6D753667">
      <w:pPr>
        <w:ind w:firstLine="420" w:firstLineChars="200"/>
        <w:rPr>
          <w:rFonts w:ascii="Times New Roman" w:hAnsi="Times New Roman" w:cs="Times New Roman"/>
          <w:szCs w:val="21"/>
        </w:rPr>
      </w:pPr>
      <w:r>
        <w:rPr>
          <w:rFonts w:ascii="Times New Roman" w:hAnsi="Times New Roman" w:cs="Times New Roman"/>
          <w:szCs w:val="21"/>
        </w:rPr>
        <w:t>冷起动液压加载装置在每次冷起动试验前，应对管路和</w:t>
      </w:r>
      <w:r>
        <w:rPr>
          <w:rFonts w:ascii="Times New Roman" w:hAnsi="Times New Roman" w:cs="Times New Roman"/>
          <w:kern w:val="0"/>
          <w:szCs w:val="21"/>
          <w:lang w:bidi="ar"/>
        </w:rPr>
        <w:t>电液比例溢流阀进行检测，确认模拟加载力矩的精度和管路的正常，无损坏现象</w:t>
      </w:r>
      <w:r>
        <w:rPr>
          <w:rFonts w:ascii="Times New Roman" w:hAnsi="Times New Roman" w:cs="Times New Roman"/>
          <w:szCs w:val="21"/>
        </w:rPr>
        <w:t>。</w:t>
      </w:r>
    </w:p>
    <w:p w14:paraId="2B2F4D5A">
      <w:pPr>
        <w:rPr>
          <w:rStyle w:val="21"/>
          <w:rFonts w:ascii="Times New Roman" w:hAnsi="Times New Roman" w:cs="Times New Roman"/>
          <w:b w:val="0"/>
          <w:bCs/>
          <w:szCs w:val="21"/>
        </w:rPr>
      </w:pPr>
    </w:p>
    <w:p w14:paraId="6CAC1418">
      <w:pPr>
        <w:rPr>
          <w:rStyle w:val="21"/>
          <w:rFonts w:ascii="Times New Roman" w:hAnsi="Times New Roman" w:cs="Times New Roman"/>
          <w:b w:val="0"/>
          <w:bCs/>
          <w:szCs w:val="21"/>
        </w:rPr>
      </w:pPr>
    </w:p>
    <w:p w14:paraId="198664C4">
      <w:pPr>
        <w:rPr>
          <w:rStyle w:val="21"/>
          <w:rFonts w:ascii="Times New Roman" w:hAnsi="Times New Roman" w:cs="Times New Roman"/>
          <w:b w:val="0"/>
          <w:bCs/>
          <w:szCs w:val="21"/>
        </w:rPr>
      </w:pPr>
    </w:p>
    <w:p w14:paraId="4709C3F9">
      <w:pPr>
        <w:rPr>
          <w:rStyle w:val="21"/>
          <w:rFonts w:ascii="Times New Roman" w:hAnsi="Times New Roman" w:cs="Times New Roman"/>
          <w:b w:val="0"/>
          <w:bCs/>
          <w:szCs w:val="21"/>
        </w:rPr>
        <w:sectPr>
          <w:headerReference r:id="rId19" w:type="first"/>
          <w:pgSz w:w="11906" w:h="16838"/>
          <w:pgMar w:top="1418" w:right="1134" w:bottom="1134" w:left="1418" w:header="1418" w:footer="1134" w:gutter="0"/>
          <w:pgBorders>
            <w:top w:val="none" w:sz="0" w:space="0"/>
            <w:left w:val="none" w:sz="0" w:space="0"/>
            <w:bottom w:val="none" w:sz="0" w:space="0"/>
            <w:right w:val="none" w:sz="0" w:space="0"/>
          </w:pgBorders>
          <w:pgNumType w:fmt="decimal"/>
          <w:cols w:space="425" w:num="1"/>
          <w:titlePg/>
          <w:docGrid w:type="lines" w:linePitch="312" w:charSpace="0"/>
        </w:sectPr>
      </w:pPr>
    </w:p>
    <w:p w14:paraId="02B889AE">
      <w:pPr>
        <w:pStyle w:val="54"/>
        <w:shd w:val="clear" w:color="FFFFFF" w:fill="FFFFFF"/>
        <w:rPr>
          <w:rFonts w:ascii="Times New Roman" w:hAnsi="Times New Roman" w:eastAsia="黑体"/>
          <w:sz w:val="21"/>
          <w:szCs w:val="21"/>
        </w:rPr>
      </w:pPr>
      <w:bookmarkStart w:id="116" w:name="_Toc30448"/>
      <w:bookmarkStart w:id="117" w:name="_Toc8043"/>
      <w:bookmarkStart w:id="118" w:name="_Toc17032"/>
      <w:bookmarkStart w:id="119" w:name="_Toc8004"/>
      <w:r>
        <w:rPr>
          <w:rFonts w:hint="eastAsia"/>
        </w:rPr>
        <w:t>附　录　C</w:t>
      </w:r>
      <w:bookmarkEnd w:id="116"/>
      <w:bookmarkEnd w:id="117"/>
      <w:bookmarkEnd w:id="118"/>
      <w:r>
        <w:rPr>
          <w:rFonts w:hint="eastAsia"/>
        </w:rPr>
        <w:br w:type="textWrapping"/>
      </w:r>
      <w:r>
        <w:rPr>
          <w:rFonts w:ascii="Times New Roman" w:hAnsi="Times New Roman" w:eastAsia="黑体"/>
          <w:sz w:val="21"/>
          <w:szCs w:val="21"/>
        </w:rPr>
        <w:t>（规范性）</w:t>
      </w:r>
      <w:r>
        <w:rPr>
          <w:rFonts w:hint="eastAsia"/>
          <w:sz w:val="21"/>
          <w:szCs w:val="21"/>
        </w:rPr>
        <w:br w:type="textWrapping"/>
      </w:r>
      <w:r>
        <w:rPr>
          <w:rFonts w:ascii="Times New Roman" w:hAnsi="Times New Roman" w:eastAsia="黑体"/>
          <w:sz w:val="21"/>
          <w:szCs w:val="21"/>
        </w:rPr>
        <w:t>试验结果汇总表</w:t>
      </w:r>
      <w:bookmarkEnd w:id="119"/>
    </w:p>
    <w:p w14:paraId="57A2D144">
      <w:pPr>
        <w:spacing w:before="312" w:beforeLines="100" w:after="312" w:afterLines="100"/>
        <w:rPr>
          <w:rFonts w:ascii="Times New Roman" w:hAnsi="Times New Roman" w:eastAsia="黑体" w:cs="Times New Roman"/>
          <w:szCs w:val="21"/>
        </w:rPr>
      </w:pPr>
      <w:r>
        <w:rPr>
          <w:rFonts w:ascii="Times New Roman" w:hAnsi="Times New Roman" w:eastAsia="黑体" w:cs="Times New Roman"/>
          <w:szCs w:val="21"/>
        </w:rPr>
        <w:t>C.1  样品信息及检验条件</w:t>
      </w:r>
    </w:p>
    <w:p w14:paraId="1CF8EA86">
      <w:pPr>
        <w:pStyle w:val="9"/>
        <w:rPr>
          <w:rFonts w:ascii="Times New Roman" w:hAnsi="Times New Roman" w:cs="Times New Roman"/>
        </w:rPr>
      </w:pPr>
      <w:r>
        <w:rPr>
          <w:rFonts w:ascii="Times New Roman" w:hAnsi="Times New Roman" w:eastAsia="黑体" w:cs="Times New Roman"/>
          <w:szCs w:val="21"/>
        </w:rPr>
        <w:t>C.1.1 样品信息</w:t>
      </w:r>
    </w:p>
    <w:p w14:paraId="27383EF1">
      <w:pPr>
        <w:snapToGrid w:val="0"/>
        <w:spacing w:line="360" w:lineRule="auto"/>
        <w:ind w:left="-7" w:firstLine="7"/>
        <w:rPr>
          <w:rFonts w:ascii="Times New Roman" w:hAnsi="Times New Roman" w:cs="Times New Roman"/>
          <w:szCs w:val="21"/>
        </w:rPr>
      </w:pPr>
      <w:r>
        <w:rPr>
          <w:rFonts w:ascii="Times New Roman" w:hAnsi="Times New Roman" w:cs="Times New Roman"/>
          <w:szCs w:val="21"/>
        </w:rPr>
        <w:t>发动机编号：</w:t>
      </w:r>
      <w:r>
        <w:rPr>
          <w:rFonts w:ascii="Times New Roman" w:hAnsi="Times New Roman" w:cs="Times New Roman"/>
          <w:szCs w:val="21"/>
          <w:u w:val="single"/>
        </w:rPr>
        <w:t xml:space="preserve">                           </w:t>
      </w:r>
      <w:r>
        <w:rPr>
          <w:rFonts w:ascii="Times New Roman" w:hAnsi="Times New Roman" w:cs="Times New Roman"/>
          <w:szCs w:val="21"/>
        </w:rPr>
        <w:t xml:space="preserve">         发动机型号：</w:t>
      </w:r>
      <w:r>
        <w:rPr>
          <w:rFonts w:ascii="Times New Roman" w:hAnsi="Times New Roman" w:cs="Times New Roman"/>
          <w:szCs w:val="21"/>
          <w:u w:val="single"/>
        </w:rPr>
        <w:t xml:space="preserve">                           </w:t>
      </w:r>
    </w:p>
    <w:p w14:paraId="54038022">
      <w:pPr>
        <w:spacing w:line="360" w:lineRule="auto"/>
        <w:ind w:left="-7" w:firstLine="7"/>
        <w:rPr>
          <w:rFonts w:ascii="Times New Roman" w:hAnsi="Times New Roman" w:cs="Times New Roman"/>
          <w:szCs w:val="21"/>
          <w:u w:val="single"/>
        </w:rPr>
      </w:pPr>
      <w:r>
        <w:rPr>
          <w:rFonts w:ascii="Times New Roman" w:hAnsi="Times New Roman" w:cs="Times New Roman"/>
          <w:szCs w:val="21"/>
        </w:rPr>
        <w:t>生产厂：</w:t>
      </w:r>
      <w:r>
        <w:rPr>
          <w:rFonts w:ascii="Times New Roman" w:hAnsi="Times New Roman" w:cs="Times New Roman"/>
          <w:szCs w:val="21"/>
          <w:u w:val="single"/>
        </w:rPr>
        <w:t xml:space="preserve">                               </w:t>
      </w:r>
      <w:r>
        <w:rPr>
          <w:rFonts w:ascii="Times New Roman" w:hAnsi="Times New Roman" w:cs="Times New Roman"/>
          <w:szCs w:val="21"/>
        </w:rPr>
        <w:t xml:space="preserve">         生产日期：</w:t>
      </w:r>
      <w:r>
        <w:rPr>
          <w:rFonts w:ascii="Times New Roman" w:hAnsi="Times New Roman" w:cs="Times New Roman"/>
          <w:szCs w:val="21"/>
          <w:u w:val="single"/>
        </w:rPr>
        <w:t xml:space="preserve">                             </w:t>
      </w:r>
    </w:p>
    <w:p w14:paraId="045D5B9C">
      <w:pPr>
        <w:spacing w:line="360" w:lineRule="auto"/>
        <w:ind w:left="-7" w:right="-105" w:rightChars="-50" w:firstLine="7"/>
        <w:rPr>
          <w:rFonts w:ascii="Times New Roman" w:hAnsi="Times New Roman" w:cs="Times New Roman"/>
          <w:szCs w:val="21"/>
          <w:u w:val="single"/>
        </w:rPr>
      </w:pPr>
      <w:r>
        <w:rPr>
          <w:rFonts w:ascii="Times New Roman" w:hAnsi="Times New Roman" w:cs="Times New Roman"/>
          <w:szCs w:val="21"/>
        </w:rPr>
        <w:t>机械类型：</w:t>
      </w:r>
      <w:r>
        <w:rPr>
          <w:rFonts w:ascii="Times New Roman" w:hAnsi="Times New Roman" w:cs="Times New Roman"/>
          <w:szCs w:val="21"/>
          <w:u w:val="single"/>
        </w:rPr>
        <w:t xml:space="preserve">                             </w:t>
      </w:r>
      <w:r>
        <w:rPr>
          <w:rFonts w:ascii="Times New Roman" w:hAnsi="Times New Roman" w:cs="Times New Roman"/>
          <w:szCs w:val="21"/>
        </w:rPr>
        <w:t xml:space="preserve">         起动辅助措施：</w:t>
      </w:r>
      <w:r>
        <w:rPr>
          <w:rFonts w:ascii="Times New Roman" w:hAnsi="Times New Roman" w:cs="Times New Roman"/>
          <w:szCs w:val="21"/>
          <w:u w:val="single"/>
        </w:rPr>
        <w:t xml:space="preserve">                         </w:t>
      </w:r>
    </w:p>
    <w:p w14:paraId="0EFDE0A5">
      <w:pPr>
        <w:pStyle w:val="9"/>
        <w:rPr>
          <w:rFonts w:ascii="Times New Roman" w:hAnsi="Times New Roman" w:cs="Times New Roman"/>
        </w:rPr>
      </w:pPr>
      <w:r>
        <w:rPr>
          <w:rFonts w:ascii="Times New Roman" w:hAnsi="Times New Roman" w:cs="Times New Roman"/>
          <w:szCs w:val="21"/>
        </w:rPr>
        <w:t>润滑油牌号：</w:t>
      </w:r>
      <w:r>
        <w:rPr>
          <w:rFonts w:ascii="Times New Roman" w:hAnsi="Times New Roman" w:cs="Times New Roman"/>
          <w:szCs w:val="21"/>
          <w:u w:val="single"/>
        </w:rPr>
        <w:t xml:space="preserve">                           </w:t>
      </w:r>
      <w:r>
        <w:rPr>
          <w:rFonts w:ascii="Times New Roman" w:hAnsi="Times New Roman" w:cs="Times New Roman"/>
          <w:szCs w:val="21"/>
        </w:rPr>
        <w:t xml:space="preserve">         冷却液牌号：</w:t>
      </w:r>
      <w:r>
        <w:rPr>
          <w:rFonts w:ascii="Times New Roman" w:hAnsi="Times New Roman" w:cs="Times New Roman"/>
          <w:szCs w:val="21"/>
          <w:u w:val="single"/>
        </w:rPr>
        <w:t xml:space="preserve">                           </w:t>
      </w:r>
    </w:p>
    <w:p w14:paraId="752BA5E9">
      <w:pPr>
        <w:spacing w:line="360" w:lineRule="auto"/>
        <w:ind w:left="-7" w:firstLine="7"/>
        <w:rPr>
          <w:rFonts w:ascii="Times New Roman" w:hAnsi="Times New Roman" w:cs="Times New Roman"/>
          <w:szCs w:val="21"/>
          <w:u w:val="single"/>
        </w:rPr>
      </w:pPr>
      <w:r>
        <w:rPr>
          <w:rFonts w:ascii="Times New Roman" w:hAnsi="Times New Roman" w:cs="Times New Roman"/>
          <w:szCs w:val="21"/>
        </w:rPr>
        <w:t xml:space="preserve">燃油牌号： </w:t>
      </w:r>
      <w:r>
        <w:rPr>
          <w:rFonts w:ascii="Times New Roman" w:hAnsi="Times New Roman" w:cs="Times New Roman"/>
          <w:szCs w:val="21"/>
          <w:u w:val="single"/>
        </w:rPr>
        <w:t xml:space="preserve">                            </w:t>
      </w:r>
      <w:r>
        <w:rPr>
          <w:rFonts w:ascii="Times New Roman" w:hAnsi="Times New Roman" w:cs="Times New Roman"/>
          <w:szCs w:val="21"/>
        </w:rPr>
        <w:t xml:space="preserve">                       </w:t>
      </w:r>
    </w:p>
    <w:p w14:paraId="590435CA">
      <w:pPr>
        <w:pStyle w:val="9"/>
        <w:rPr>
          <w:rFonts w:ascii="Times New Roman" w:hAnsi="Times New Roman" w:eastAsia="黑体" w:cs="Times New Roman"/>
          <w:szCs w:val="21"/>
        </w:rPr>
      </w:pPr>
    </w:p>
    <w:p w14:paraId="6EDCD4EC">
      <w:pPr>
        <w:pStyle w:val="9"/>
        <w:rPr>
          <w:rFonts w:ascii="Times New Roman" w:hAnsi="Times New Roman" w:cs="Times New Roman"/>
          <w:b/>
          <w:bCs/>
          <w:szCs w:val="21"/>
        </w:rPr>
      </w:pPr>
      <w:r>
        <w:rPr>
          <w:rFonts w:ascii="Times New Roman" w:hAnsi="Times New Roman" w:eastAsia="黑体" w:cs="Times New Roman"/>
          <w:szCs w:val="21"/>
        </w:rPr>
        <w:t>C.1.2 检验条件</w:t>
      </w:r>
    </w:p>
    <w:tbl>
      <w:tblPr>
        <w:tblStyle w:val="18"/>
        <w:tblW w:w="93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726"/>
        <w:gridCol w:w="1545"/>
        <w:gridCol w:w="2515"/>
        <w:gridCol w:w="2552"/>
      </w:tblGrid>
      <w:tr w14:paraId="75BE9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488" w:hRule="atLeast"/>
          <w:jc w:val="center"/>
        </w:trPr>
        <w:tc>
          <w:tcPr>
            <w:tcW w:w="2726" w:type="dxa"/>
            <w:vAlign w:val="center"/>
          </w:tcPr>
          <w:p w14:paraId="5B0EB565">
            <w:pPr>
              <w:spacing w:line="360" w:lineRule="auto"/>
              <w:jc w:val="center"/>
              <w:rPr>
                <w:rFonts w:ascii="Times New Roman" w:hAnsi="Times New Roman" w:cs="Times New Roman"/>
                <w:sz w:val="18"/>
                <w:szCs w:val="18"/>
              </w:rPr>
            </w:pPr>
            <w:r>
              <w:rPr>
                <w:rFonts w:ascii="Times New Roman" w:hAnsi="Times New Roman" w:cs="Times New Roman"/>
                <w:sz w:val="18"/>
                <w:szCs w:val="18"/>
              </w:rPr>
              <w:t>海拔高度(m)</w:t>
            </w:r>
          </w:p>
        </w:tc>
        <w:tc>
          <w:tcPr>
            <w:tcW w:w="1545" w:type="dxa"/>
            <w:vAlign w:val="center"/>
          </w:tcPr>
          <w:p w14:paraId="2B517CB1">
            <w:pPr>
              <w:spacing w:line="360" w:lineRule="auto"/>
              <w:ind w:left="-7" w:firstLine="7"/>
              <w:jc w:val="center"/>
              <w:rPr>
                <w:rFonts w:ascii="Times New Roman" w:hAnsi="Times New Roman" w:cs="Times New Roman"/>
                <w:sz w:val="18"/>
                <w:szCs w:val="18"/>
              </w:rPr>
            </w:pPr>
          </w:p>
        </w:tc>
        <w:tc>
          <w:tcPr>
            <w:tcW w:w="2515" w:type="dxa"/>
            <w:vAlign w:val="center"/>
          </w:tcPr>
          <w:p w14:paraId="1CD2E746">
            <w:pPr>
              <w:spacing w:line="360" w:lineRule="auto"/>
              <w:ind w:left="-7" w:firstLine="7"/>
              <w:jc w:val="center"/>
              <w:rPr>
                <w:rFonts w:ascii="Times New Roman" w:hAnsi="Times New Roman" w:cs="Times New Roman"/>
                <w:sz w:val="18"/>
                <w:szCs w:val="18"/>
              </w:rPr>
            </w:pPr>
            <w:r>
              <w:rPr>
                <w:rFonts w:ascii="Times New Roman" w:hAnsi="Times New Roman" w:cs="Times New Roman"/>
                <w:sz w:val="18"/>
                <w:szCs w:val="18"/>
              </w:rPr>
              <w:t>环境温度(℃)</w:t>
            </w:r>
          </w:p>
        </w:tc>
        <w:tc>
          <w:tcPr>
            <w:tcW w:w="2552" w:type="dxa"/>
            <w:vAlign w:val="center"/>
          </w:tcPr>
          <w:p w14:paraId="69689BB5">
            <w:pPr>
              <w:spacing w:line="360" w:lineRule="auto"/>
              <w:ind w:left="-7" w:firstLine="7"/>
              <w:jc w:val="center"/>
              <w:rPr>
                <w:rFonts w:ascii="Times New Roman" w:hAnsi="Times New Roman" w:cs="Times New Roman"/>
                <w:sz w:val="18"/>
                <w:szCs w:val="18"/>
              </w:rPr>
            </w:pPr>
          </w:p>
        </w:tc>
      </w:tr>
      <w:tr w14:paraId="497EE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499" w:hRule="atLeast"/>
          <w:jc w:val="center"/>
        </w:trPr>
        <w:tc>
          <w:tcPr>
            <w:tcW w:w="2726" w:type="dxa"/>
            <w:vAlign w:val="center"/>
          </w:tcPr>
          <w:p w14:paraId="214985FB">
            <w:pPr>
              <w:spacing w:line="360" w:lineRule="auto"/>
              <w:jc w:val="center"/>
              <w:rPr>
                <w:rFonts w:ascii="Times New Roman" w:hAnsi="Times New Roman" w:cs="Times New Roman"/>
                <w:sz w:val="18"/>
                <w:szCs w:val="18"/>
              </w:rPr>
            </w:pPr>
            <w:r>
              <w:rPr>
                <w:rFonts w:ascii="Times New Roman" w:hAnsi="Times New Roman" w:cs="Times New Roman"/>
                <w:sz w:val="18"/>
                <w:szCs w:val="18"/>
              </w:rPr>
              <w:t>大气压力(kPa)</w:t>
            </w:r>
          </w:p>
        </w:tc>
        <w:tc>
          <w:tcPr>
            <w:tcW w:w="1545" w:type="dxa"/>
            <w:vAlign w:val="center"/>
          </w:tcPr>
          <w:p w14:paraId="31FCFE72">
            <w:pPr>
              <w:spacing w:line="360" w:lineRule="auto"/>
              <w:ind w:left="-7" w:firstLine="7"/>
              <w:jc w:val="center"/>
              <w:rPr>
                <w:rFonts w:ascii="Times New Roman" w:hAnsi="Times New Roman" w:cs="Times New Roman"/>
                <w:sz w:val="18"/>
                <w:szCs w:val="18"/>
              </w:rPr>
            </w:pPr>
          </w:p>
        </w:tc>
        <w:tc>
          <w:tcPr>
            <w:tcW w:w="2515" w:type="dxa"/>
            <w:vAlign w:val="center"/>
          </w:tcPr>
          <w:p w14:paraId="7806E5AB">
            <w:pPr>
              <w:spacing w:line="360" w:lineRule="auto"/>
              <w:ind w:left="-7" w:firstLine="7"/>
              <w:jc w:val="center"/>
              <w:rPr>
                <w:rFonts w:ascii="Times New Roman" w:hAnsi="Times New Roman" w:cs="Times New Roman"/>
                <w:sz w:val="18"/>
                <w:szCs w:val="18"/>
              </w:rPr>
            </w:pPr>
            <w:r>
              <w:rPr>
                <w:rFonts w:ascii="Times New Roman" w:hAnsi="Times New Roman" w:cs="Times New Roman"/>
                <w:sz w:val="18"/>
                <w:szCs w:val="18"/>
              </w:rPr>
              <w:t>--</w:t>
            </w:r>
          </w:p>
        </w:tc>
        <w:tc>
          <w:tcPr>
            <w:tcW w:w="2552" w:type="dxa"/>
            <w:vAlign w:val="center"/>
          </w:tcPr>
          <w:p w14:paraId="733527E5">
            <w:pPr>
              <w:spacing w:line="360" w:lineRule="auto"/>
              <w:ind w:left="-7" w:firstLine="7"/>
              <w:jc w:val="center"/>
              <w:rPr>
                <w:rFonts w:ascii="Times New Roman" w:hAnsi="Times New Roman" w:cs="Times New Roman" w:eastAsiaTheme="minorEastAsia"/>
                <w:sz w:val="18"/>
                <w:szCs w:val="18"/>
              </w:rPr>
            </w:pPr>
            <w:r>
              <w:rPr>
                <w:rFonts w:ascii="Times New Roman" w:hAnsi="Times New Roman" w:cs="Times New Roman"/>
                <w:sz w:val="18"/>
                <w:szCs w:val="18"/>
              </w:rPr>
              <w:t>--</w:t>
            </w:r>
          </w:p>
        </w:tc>
      </w:tr>
    </w:tbl>
    <w:p w14:paraId="32BD0125">
      <w:pPr>
        <w:spacing w:before="312" w:beforeLines="100" w:after="312" w:afterLines="100"/>
        <w:rPr>
          <w:rFonts w:ascii="Times New Roman" w:hAnsi="Times New Roman" w:eastAsia="黑体" w:cs="Times New Roman"/>
          <w:szCs w:val="21"/>
        </w:rPr>
      </w:pPr>
      <w:r>
        <w:rPr>
          <w:rFonts w:ascii="Times New Roman" w:hAnsi="Times New Roman" w:eastAsia="黑体" w:cs="Times New Roman"/>
          <w:szCs w:val="21"/>
        </w:rPr>
        <w:t>C.2 试验结果</w:t>
      </w:r>
    </w:p>
    <w:p w14:paraId="62E95423">
      <w:pPr>
        <w:pStyle w:val="62"/>
        <w:numPr>
          <w:ilvl w:val="1"/>
          <w:numId w:val="0"/>
        </w:numPr>
        <w:spacing w:before="156" w:after="156"/>
        <w:jc w:val="left"/>
        <w:rPr>
          <w:rFonts w:ascii="Times New Roman"/>
        </w:rPr>
      </w:pPr>
      <w:r>
        <w:rPr>
          <w:rFonts w:ascii="Times New Roman"/>
        </w:rPr>
        <w:t>C.2.1 高原冷起动试验结果</w:t>
      </w:r>
    </w:p>
    <w:tbl>
      <w:tblPr>
        <w:tblStyle w:val="19"/>
        <w:tblW w:w="498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072"/>
        <w:gridCol w:w="1468"/>
        <w:gridCol w:w="1496"/>
        <w:gridCol w:w="1722"/>
        <w:gridCol w:w="1530"/>
        <w:gridCol w:w="2046"/>
      </w:tblGrid>
      <w:tr w14:paraId="5974A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4" w:hRule="atLeast"/>
          <w:tblHeader/>
          <w:jc w:val="center"/>
        </w:trPr>
        <w:tc>
          <w:tcPr>
            <w:tcW w:w="574" w:type="pct"/>
            <w:vMerge w:val="restart"/>
            <w:tcBorders>
              <w:tl2br w:val="nil"/>
              <w:tr2bl w:val="nil"/>
            </w:tcBorders>
            <w:vAlign w:val="center"/>
          </w:tcPr>
          <w:p w14:paraId="26DA7C70">
            <w:pPr>
              <w:pStyle w:val="63"/>
              <w:widowControl w:val="0"/>
              <w:rPr>
                <w:rFonts w:ascii="Times New Roman"/>
              </w:rPr>
            </w:pPr>
            <w:r>
              <w:rPr>
                <w:rFonts w:hint="eastAsia" w:ascii="Times New Roman"/>
              </w:rPr>
              <w:t>测试次数</w:t>
            </w:r>
          </w:p>
        </w:tc>
        <w:tc>
          <w:tcPr>
            <w:tcW w:w="786" w:type="pct"/>
            <w:tcBorders>
              <w:tl2br w:val="nil"/>
              <w:tr2bl w:val="nil"/>
            </w:tcBorders>
            <w:vAlign w:val="center"/>
          </w:tcPr>
          <w:p w14:paraId="06216E85">
            <w:pPr>
              <w:pStyle w:val="63"/>
              <w:widowControl w:val="0"/>
              <w:rPr>
                <w:rFonts w:ascii="Times New Roman"/>
              </w:rPr>
            </w:pPr>
            <w:r>
              <w:rPr>
                <w:rFonts w:ascii="Times New Roman"/>
              </w:rPr>
              <w:t>预热时间</w:t>
            </w:r>
          </w:p>
        </w:tc>
        <w:tc>
          <w:tcPr>
            <w:tcW w:w="801" w:type="pct"/>
            <w:tcBorders>
              <w:tl2br w:val="nil"/>
              <w:tr2bl w:val="nil"/>
            </w:tcBorders>
          </w:tcPr>
          <w:p w14:paraId="6AF115B3">
            <w:pPr>
              <w:pStyle w:val="63"/>
              <w:widowControl w:val="0"/>
              <w:rPr>
                <w:rFonts w:ascii="Times New Roman"/>
              </w:rPr>
            </w:pPr>
            <w:r>
              <w:rPr>
                <w:rFonts w:ascii="Times New Roman"/>
              </w:rPr>
              <w:t>拖动转速</w:t>
            </w:r>
          </w:p>
        </w:tc>
        <w:tc>
          <w:tcPr>
            <w:tcW w:w="922" w:type="pct"/>
            <w:tcBorders>
              <w:tl2br w:val="nil"/>
              <w:tr2bl w:val="nil"/>
            </w:tcBorders>
            <w:vAlign w:val="center"/>
          </w:tcPr>
          <w:p w14:paraId="5EC717E5">
            <w:pPr>
              <w:pStyle w:val="63"/>
              <w:widowControl w:val="0"/>
              <w:rPr>
                <w:rFonts w:ascii="Times New Roman"/>
              </w:rPr>
            </w:pPr>
            <w:r>
              <w:rPr>
                <w:rFonts w:ascii="Times New Roman"/>
              </w:rPr>
              <w:t>起动时间</w:t>
            </w:r>
          </w:p>
        </w:tc>
        <w:tc>
          <w:tcPr>
            <w:tcW w:w="819" w:type="pct"/>
            <w:tcBorders>
              <w:tl2br w:val="nil"/>
              <w:tr2bl w:val="nil"/>
            </w:tcBorders>
            <w:vAlign w:val="center"/>
          </w:tcPr>
          <w:p w14:paraId="77CAC4B7">
            <w:pPr>
              <w:pStyle w:val="63"/>
              <w:widowControl w:val="0"/>
              <w:rPr>
                <w:rFonts w:ascii="Times New Roman"/>
              </w:rPr>
            </w:pPr>
            <w:r>
              <w:rPr>
                <w:rFonts w:ascii="Times New Roman"/>
              </w:rPr>
              <w:t>起动失败次数</w:t>
            </w:r>
          </w:p>
        </w:tc>
        <w:tc>
          <w:tcPr>
            <w:tcW w:w="1095" w:type="pct"/>
            <w:tcBorders>
              <w:tl2br w:val="nil"/>
              <w:tr2bl w:val="nil"/>
            </w:tcBorders>
            <w:vAlign w:val="center"/>
          </w:tcPr>
          <w:p w14:paraId="4F288E96">
            <w:pPr>
              <w:pStyle w:val="63"/>
              <w:widowControl w:val="0"/>
              <w:rPr>
                <w:rFonts w:ascii="Times New Roman"/>
              </w:rPr>
            </w:pPr>
            <w:r>
              <w:rPr>
                <w:rFonts w:ascii="Times New Roman"/>
              </w:rPr>
              <w:t>评语</w:t>
            </w:r>
          </w:p>
        </w:tc>
      </w:tr>
      <w:tr w14:paraId="06009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4" w:hRule="atLeast"/>
          <w:tblHeader/>
          <w:jc w:val="center"/>
        </w:trPr>
        <w:tc>
          <w:tcPr>
            <w:tcW w:w="574" w:type="pct"/>
            <w:vMerge w:val="continue"/>
            <w:tcBorders>
              <w:tl2br w:val="nil"/>
              <w:tr2bl w:val="nil"/>
            </w:tcBorders>
            <w:vAlign w:val="center"/>
          </w:tcPr>
          <w:p w14:paraId="57C5228D">
            <w:pPr>
              <w:pStyle w:val="63"/>
              <w:widowControl w:val="0"/>
              <w:rPr>
                <w:rFonts w:ascii="Times New Roman"/>
              </w:rPr>
            </w:pPr>
          </w:p>
        </w:tc>
        <w:tc>
          <w:tcPr>
            <w:tcW w:w="786" w:type="pct"/>
            <w:tcBorders>
              <w:tl2br w:val="nil"/>
              <w:tr2bl w:val="nil"/>
            </w:tcBorders>
            <w:vAlign w:val="center"/>
          </w:tcPr>
          <w:p w14:paraId="309D4FF9">
            <w:pPr>
              <w:pStyle w:val="63"/>
              <w:widowControl w:val="0"/>
              <w:rPr>
                <w:rFonts w:ascii="Times New Roman"/>
              </w:rPr>
            </w:pPr>
            <w:r>
              <w:rPr>
                <w:rFonts w:ascii="Times New Roman"/>
              </w:rPr>
              <w:t>s</w:t>
            </w:r>
          </w:p>
        </w:tc>
        <w:tc>
          <w:tcPr>
            <w:tcW w:w="801" w:type="pct"/>
            <w:tcBorders>
              <w:tl2br w:val="nil"/>
              <w:tr2bl w:val="nil"/>
            </w:tcBorders>
          </w:tcPr>
          <w:p w14:paraId="49770B4F">
            <w:pPr>
              <w:pStyle w:val="63"/>
              <w:widowControl w:val="0"/>
              <w:rPr>
                <w:rFonts w:ascii="Times New Roman"/>
              </w:rPr>
            </w:pPr>
            <w:r>
              <w:rPr>
                <w:rFonts w:ascii="Times New Roman"/>
              </w:rPr>
              <w:t>r/min</w:t>
            </w:r>
          </w:p>
        </w:tc>
        <w:tc>
          <w:tcPr>
            <w:tcW w:w="922" w:type="pct"/>
            <w:tcBorders>
              <w:tl2br w:val="nil"/>
              <w:tr2bl w:val="nil"/>
            </w:tcBorders>
            <w:vAlign w:val="center"/>
          </w:tcPr>
          <w:p w14:paraId="2A79FC16">
            <w:pPr>
              <w:pStyle w:val="63"/>
              <w:widowControl w:val="0"/>
              <w:rPr>
                <w:rFonts w:ascii="Times New Roman"/>
              </w:rPr>
            </w:pPr>
            <w:r>
              <w:rPr>
                <w:rFonts w:ascii="Times New Roman"/>
              </w:rPr>
              <w:t>s</w:t>
            </w:r>
          </w:p>
        </w:tc>
        <w:tc>
          <w:tcPr>
            <w:tcW w:w="819" w:type="pct"/>
            <w:tcBorders>
              <w:tl2br w:val="nil"/>
              <w:tr2bl w:val="nil"/>
            </w:tcBorders>
            <w:vAlign w:val="center"/>
          </w:tcPr>
          <w:p w14:paraId="1BFB8596">
            <w:pPr>
              <w:pStyle w:val="63"/>
              <w:widowControl w:val="0"/>
              <w:rPr>
                <w:rFonts w:ascii="Times New Roman"/>
              </w:rPr>
            </w:pPr>
            <w:r>
              <w:rPr>
                <w:rFonts w:ascii="Times New Roman"/>
              </w:rPr>
              <w:t>--</w:t>
            </w:r>
          </w:p>
        </w:tc>
        <w:tc>
          <w:tcPr>
            <w:tcW w:w="1095" w:type="pct"/>
            <w:tcBorders>
              <w:tl2br w:val="nil"/>
              <w:tr2bl w:val="nil"/>
            </w:tcBorders>
            <w:vAlign w:val="center"/>
          </w:tcPr>
          <w:p w14:paraId="21073572">
            <w:pPr>
              <w:pStyle w:val="63"/>
              <w:widowControl w:val="0"/>
              <w:rPr>
                <w:rFonts w:ascii="Times New Roman"/>
              </w:rPr>
            </w:pPr>
            <w:r>
              <w:rPr>
                <w:rFonts w:ascii="Times New Roman"/>
              </w:rPr>
              <w:t>--</w:t>
            </w:r>
          </w:p>
        </w:tc>
      </w:tr>
      <w:tr w14:paraId="7EAF7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9" w:hRule="atLeast"/>
          <w:jc w:val="center"/>
        </w:trPr>
        <w:tc>
          <w:tcPr>
            <w:tcW w:w="574" w:type="pct"/>
            <w:tcBorders>
              <w:tl2br w:val="nil"/>
              <w:tr2bl w:val="nil"/>
            </w:tcBorders>
            <w:vAlign w:val="center"/>
          </w:tcPr>
          <w:p w14:paraId="480F7216">
            <w:pPr>
              <w:pStyle w:val="63"/>
              <w:widowControl w:val="0"/>
              <w:rPr>
                <w:rFonts w:ascii="Times New Roman"/>
              </w:rPr>
            </w:pPr>
            <w:bookmarkStart w:id="120" w:name="_Hlk132121112"/>
            <w:r>
              <w:rPr>
                <w:rFonts w:hint="eastAsia" w:ascii="Times New Roman"/>
              </w:rPr>
              <w:t>第一次</w:t>
            </w:r>
          </w:p>
        </w:tc>
        <w:tc>
          <w:tcPr>
            <w:tcW w:w="786" w:type="pct"/>
            <w:tcBorders>
              <w:tl2br w:val="nil"/>
              <w:tr2bl w:val="nil"/>
            </w:tcBorders>
            <w:vAlign w:val="center"/>
          </w:tcPr>
          <w:p w14:paraId="56FBCE54">
            <w:pPr>
              <w:pStyle w:val="63"/>
              <w:widowControl w:val="0"/>
              <w:rPr>
                <w:rFonts w:ascii="Times New Roman"/>
              </w:rPr>
            </w:pPr>
          </w:p>
        </w:tc>
        <w:tc>
          <w:tcPr>
            <w:tcW w:w="801" w:type="pct"/>
            <w:tcBorders>
              <w:tl2br w:val="nil"/>
              <w:tr2bl w:val="nil"/>
            </w:tcBorders>
          </w:tcPr>
          <w:p w14:paraId="72335524">
            <w:pPr>
              <w:pStyle w:val="63"/>
              <w:widowControl w:val="0"/>
              <w:rPr>
                <w:rFonts w:ascii="Times New Roman"/>
              </w:rPr>
            </w:pPr>
          </w:p>
        </w:tc>
        <w:tc>
          <w:tcPr>
            <w:tcW w:w="922" w:type="pct"/>
            <w:tcBorders>
              <w:tl2br w:val="nil"/>
              <w:tr2bl w:val="nil"/>
            </w:tcBorders>
            <w:vAlign w:val="center"/>
          </w:tcPr>
          <w:p w14:paraId="22998C2E">
            <w:pPr>
              <w:pStyle w:val="63"/>
              <w:widowControl w:val="0"/>
              <w:rPr>
                <w:rFonts w:ascii="Times New Roman"/>
              </w:rPr>
            </w:pPr>
          </w:p>
        </w:tc>
        <w:tc>
          <w:tcPr>
            <w:tcW w:w="819" w:type="pct"/>
            <w:tcBorders>
              <w:tl2br w:val="nil"/>
              <w:tr2bl w:val="nil"/>
            </w:tcBorders>
            <w:vAlign w:val="center"/>
          </w:tcPr>
          <w:p w14:paraId="1CB746D1">
            <w:pPr>
              <w:pStyle w:val="63"/>
              <w:widowControl w:val="0"/>
              <w:rPr>
                <w:rFonts w:ascii="Times New Roman"/>
              </w:rPr>
            </w:pPr>
          </w:p>
        </w:tc>
        <w:tc>
          <w:tcPr>
            <w:tcW w:w="1095" w:type="pct"/>
            <w:tcBorders>
              <w:tl2br w:val="nil"/>
              <w:tr2bl w:val="nil"/>
            </w:tcBorders>
            <w:vAlign w:val="center"/>
          </w:tcPr>
          <w:p w14:paraId="23587CF9">
            <w:pPr>
              <w:pStyle w:val="63"/>
              <w:widowControl w:val="0"/>
              <w:rPr>
                <w:rFonts w:ascii="Times New Roman"/>
              </w:rPr>
            </w:pPr>
          </w:p>
        </w:tc>
      </w:tr>
      <w:tr w14:paraId="72257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9" w:hRule="atLeast"/>
          <w:jc w:val="center"/>
        </w:trPr>
        <w:tc>
          <w:tcPr>
            <w:tcW w:w="574" w:type="pct"/>
            <w:tcBorders>
              <w:tl2br w:val="nil"/>
              <w:tr2bl w:val="nil"/>
            </w:tcBorders>
            <w:vAlign w:val="center"/>
          </w:tcPr>
          <w:p w14:paraId="08FBC613">
            <w:pPr>
              <w:pStyle w:val="63"/>
              <w:widowControl w:val="0"/>
              <w:rPr>
                <w:rFonts w:ascii="Times New Roman"/>
              </w:rPr>
            </w:pPr>
            <w:r>
              <w:rPr>
                <w:rFonts w:hint="eastAsia" w:ascii="Times New Roman"/>
              </w:rPr>
              <w:t>第二次</w:t>
            </w:r>
          </w:p>
        </w:tc>
        <w:tc>
          <w:tcPr>
            <w:tcW w:w="786" w:type="pct"/>
            <w:tcBorders>
              <w:tl2br w:val="nil"/>
              <w:tr2bl w:val="nil"/>
            </w:tcBorders>
            <w:vAlign w:val="center"/>
          </w:tcPr>
          <w:p w14:paraId="27BE108B">
            <w:pPr>
              <w:pStyle w:val="63"/>
              <w:widowControl w:val="0"/>
              <w:rPr>
                <w:rFonts w:ascii="Times New Roman"/>
              </w:rPr>
            </w:pPr>
          </w:p>
        </w:tc>
        <w:tc>
          <w:tcPr>
            <w:tcW w:w="801" w:type="pct"/>
            <w:tcBorders>
              <w:tl2br w:val="nil"/>
              <w:tr2bl w:val="nil"/>
            </w:tcBorders>
          </w:tcPr>
          <w:p w14:paraId="56507CEB">
            <w:pPr>
              <w:pStyle w:val="63"/>
              <w:widowControl w:val="0"/>
              <w:rPr>
                <w:rFonts w:ascii="Times New Roman"/>
              </w:rPr>
            </w:pPr>
          </w:p>
        </w:tc>
        <w:tc>
          <w:tcPr>
            <w:tcW w:w="922" w:type="pct"/>
            <w:tcBorders>
              <w:tl2br w:val="nil"/>
              <w:tr2bl w:val="nil"/>
            </w:tcBorders>
            <w:vAlign w:val="center"/>
          </w:tcPr>
          <w:p w14:paraId="7418AB55">
            <w:pPr>
              <w:pStyle w:val="63"/>
              <w:widowControl w:val="0"/>
              <w:rPr>
                <w:rFonts w:ascii="Times New Roman"/>
              </w:rPr>
            </w:pPr>
          </w:p>
        </w:tc>
        <w:tc>
          <w:tcPr>
            <w:tcW w:w="819" w:type="pct"/>
            <w:tcBorders>
              <w:tl2br w:val="nil"/>
              <w:tr2bl w:val="nil"/>
            </w:tcBorders>
            <w:vAlign w:val="center"/>
          </w:tcPr>
          <w:p w14:paraId="44026B66">
            <w:pPr>
              <w:pStyle w:val="63"/>
              <w:widowControl w:val="0"/>
              <w:rPr>
                <w:rFonts w:ascii="Times New Roman"/>
              </w:rPr>
            </w:pPr>
          </w:p>
        </w:tc>
        <w:tc>
          <w:tcPr>
            <w:tcW w:w="1095" w:type="pct"/>
            <w:tcBorders>
              <w:tl2br w:val="nil"/>
              <w:tr2bl w:val="nil"/>
            </w:tcBorders>
            <w:vAlign w:val="center"/>
          </w:tcPr>
          <w:p w14:paraId="557CE19E">
            <w:pPr>
              <w:pStyle w:val="63"/>
              <w:widowControl w:val="0"/>
              <w:rPr>
                <w:rFonts w:ascii="Times New Roman"/>
              </w:rPr>
            </w:pPr>
          </w:p>
        </w:tc>
      </w:tr>
      <w:tr w14:paraId="46BFD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atLeast"/>
          <w:jc w:val="center"/>
        </w:trPr>
        <w:tc>
          <w:tcPr>
            <w:tcW w:w="574" w:type="pct"/>
            <w:tcBorders>
              <w:tl2br w:val="nil"/>
              <w:tr2bl w:val="nil"/>
            </w:tcBorders>
            <w:vAlign w:val="center"/>
          </w:tcPr>
          <w:p w14:paraId="590A59CA">
            <w:pPr>
              <w:pStyle w:val="63"/>
              <w:widowControl w:val="0"/>
              <w:rPr>
                <w:rFonts w:ascii="Times New Roman"/>
              </w:rPr>
            </w:pPr>
            <w:r>
              <w:rPr>
                <w:rFonts w:hint="eastAsia" w:ascii="Times New Roman"/>
              </w:rPr>
              <w:t>第三次</w:t>
            </w:r>
          </w:p>
        </w:tc>
        <w:tc>
          <w:tcPr>
            <w:tcW w:w="786" w:type="pct"/>
            <w:tcBorders>
              <w:tl2br w:val="nil"/>
              <w:tr2bl w:val="nil"/>
            </w:tcBorders>
            <w:vAlign w:val="center"/>
          </w:tcPr>
          <w:p w14:paraId="55C32DB8">
            <w:pPr>
              <w:pStyle w:val="63"/>
              <w:widowControl w:val="0"/>
              <w:rPr>
                <w:rFonts w:ascii="Times New Roman"/>
              </w:rPr>
            </w:pPr>
          </w:p>
        </w:tc>
        <w:tc>
          <w:tcPr>
            <w:tcW w:w="801" w:type="pct"/>
            <w:tcBorders>
              <w:tl2br w:val="nil"/>
              <w:tr2bl w:val="nil"/>
            </w:tcBorders>
          </w:tcPr>
          <w:p w14:paraId="514FC3D4">
            <w:pPr>
              <w:pStyle w:val="63"/>
              <w:widowControl w:val="0"/>
              <w:rPr>
                <w:rFonts w:ascii="Times New Roman"/>
              </w:rPr>
            </w:pPr>
          </w:p>
        </w:tc>
        <w:tc>
          <w:tcPr>
            <w:tcW w:w="922" w:type="pct"/>
            <w:tcBorders>
              <w:tl2br w:val="nil"/>
              <w:tr2bl w:val="nil"/>
            </w:tcBorders>
            <w:vAlign w:val="center"/>
          </w:tcPr>
          <w:p w14:paraId="2B327B22">
            <w:pPr>
              <w:pStyle w:val="63"/>
              <w:widowControl w:val="0"/>
              <w:rPr>
                <w:rFonts w:ascii="Times New Roman"/>
              </w:rPr>
            </w:pPr>
          </w:p>
        </w:tc>
        <w:tc>
          <w:tcPr>
            <w:tcW w:w="819" w:type="pct"/>
            <w:tcBorders>
              <w:tl2br w:val="nil"/>
              <w:tr2bl w:val="nil"/>
            </w:tcBorders>
            <w:vAlign w:val="center"/>
          </w:tcPr>
          <w:p w14:paraId="7D1364C7">
            <w:pPr>
              <w:pStyle w:val="63"/>
              <w:widowControl w:val="0"/>
              <w:rPr>
                <w:rFonts w:ascii="Times New Roman"/>
              </w:rPr>
            </w:pPr>
          </w:p>
        </w:tc>
        <w:tc>
          <w:tcPr>
            <w:tcW w:w="1095" w:type="pct"/>
            <w:tcBorders>
              <w:tl2br w:val="nil"/>
              <w:tr2bl w:val="nil"/>
            </w:tcBorders>
            <w:vAlign w:val="center"/>
          </w:tcPr>
          <w:p w14:paraId="2932BFC8">
            <w:pPr>
              <w:pStyle w:val="63"/>
              <w:widowControl w:val="0"/>
              <w:rPr>
                <w:rFonts w:ascii="Times New Roman"/>
              </w:rPr>
            </w:pPr>
          </w:p>
        </w:tc>
      </w:tr>
      <w:bookmarkEnd w:id="120"/>
    </w:tbl>
    <w:p w14:paraId="1F47E1EC">
      <w:pPr>
        <w:pStyle w:val="62"/>
        <w:numPr>
          <w:ilvl w:val="1"/>
          <w:numId w:val="0"/>
        </w:numPr>
        <w:spacing w:before="156" w:after="156"/>
        <w:jc w:val="both"/>
        <w:rPr>
          <w:rFonts w:ascii="Times New Roman"/>
        </w:rPr>
      </w:pPr>
      <w:r>
        <w:rPr>
          <w:rFonts w:ascii="Times New Roman"/>
        </w:rPr>
        <w:t>C.2.2 高原冷起动加载试验结果</w:t>
      </w:r>
    </w:p>
    <w:tbl>
      <w:tblPr>
        <w:tblStyle w:val="19"/>
        <w:tblW w:w="501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053"/>
        <w:gridCol w:w="1116"/>
        <w:gridCol w:w="1120"/>
        <w:gridCol w:w="1259"/>
        <w:gridCol w:w="1374"/>
        <w:gridCol w:w="1380"/>
        <w:gridCol w:w="2090"/>
      </w:tblGrid>
      <w:tr w14:paraId="26F50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tblHeader/>
          <w:jc w:val="center"/>
        </w:trPr>
        <w:tc>
          <w:tcPr>
            <w:tcW w:w="560" w:type="pct"/>
            <w:vMerge w:val="restart"/>
            <w:tcBorders>
              <w:tl2br w:val="nil"/>
              <w:tr2bl w:val="nil"/>
            </w:tcBorders>
            <w:vAlign w:val="center"/>
          </w:tcPr>
          <w:p w14:paraId="1DB7D157">
            <w:pPr>
              <w:pStyle w:val="63"/>
              <w:widowControl w:val="0"/>
              <w:rPr>
                <w:rFonts w:ascii="Times New Roman"/>
              </w:rPr>
            </w:pPr>
            <w:r>
              <w:rPr>
                <w:rFonts w:hint="eastAsia" w:ascii="Times New Roman"/>
              </w:rPr>
              <w:t>测试次数</w:t>
            </w:r>
          </w:p>
        </w:tc>
        <w:tc>
          <w:tcPr>
            <w:tcW w:w="594" w:type="pct"/>
            <w:tcBorders>
              <w:tl2br w:val="nil"/>
              <w:tr2bl w:val="nil"/>
            </w:tcBorders>
            <w:vAlign w:val="center"/>
          </w:tcPr>
          <w:p w14:paraId="35F571AB">
            <w:pPr>
              <w:pStyle w:val="63"/>
              <w:widowControl w:val="0"/>
              <w:rPr>
                <w:rFonts w:ascii="Times New Roman"/>
              </w:rPr>
            </w:pPr>
            <w:r>
              <w:rPr>
                <w:rFonts w:ascii="Times New Roman"/>
              </w:rPr>
              <w:t>起动负载</w:t>
            </w:r>
          </w:p>
        </w:tc>
        <w:tc>
          <w:tcPr>
            <w:tcW w:w="596" w:type="pct"/>
            <w:tcBorders>
              <w:tl2br w:val="nil"/>
              <w:tr2bl w:val="nil"/>
            </w:tcBorders>
          </w:tcPr>
          <w:p w14:paraId="43E9BA42">
            <w:pPr>
              <w:pStyle w:val="63"/>
              <w:widowControl w:val="0"/>
              <w:rPr>
                <w:rFonts w:ascii="Times New Roman"/>
              </w:rPr>
            </w:pPr>
            <w:r>
              <w:rPr>
                <w:rFonts w:ascii="Times New Roman"/>
              </w:rPr>
              <w:t>预热时间</w:t>
            </w:r>
          </w:p>
        </w:tc>
        <w:tc>
          <w:tcPr>
            <w:tcW w:w="670" w:type="pct"/>
            <w:tcBorders>
              <w:tl2br w:val="nil"/>
              <w:tr2bl w:val="nil"/>
            </w:tcBorders>
          </w:tcPr>
          <w:p w14:paraId="0118B8D7">
            <w:pPr>
              <w:pStyle w:val="63"/>
              <w:widowControl w:val="0"/>
              <w:rPr>
                <w:rFonts w:ascii="Times New Roman"/>
              </w:rPr>
            </w:pPr>
            <w:r>
              <w:rPr>
                <w:rFonts w:ascii="Times New Roman"/>
              </w:rPr>
              <w:t>拖动转速</w:t>
            </w:r>
          </w:p>
        </w:tc>
        <w:tc>
          <w:tcPr>
            <w:tcW w:w="731" w:type="pct"/>
            <w:tcBorders>
              <w:tl2br w:val="nil"/>
              <w:tr2bl w:val="nil"/>
            </w:tcBorders>
            <w:vAlign w:val="center"/>
          </w:tcPr>
          <w:p w14:paraId="0FB88D8F">
            <w:pPr>
              <w:pStyle w:val="63"/>
              <w:widowControl w:val="0"/>
              <w:rPr>
                <w:rFonts w:ascii="Times New Roman"/>
              </w:rPr>
            </w:pPr>
            <w:r>
              <w:rPr>
                <w:rFonts w:ascii="Times New Roman"/>
              </w:rPr>
              <w:t>起动时间</w:t>
            </w:r>
          </w:p>
        </w:tc>
        <w:tc>
          <w:tcPr>
            <w:tcW w:w="734" w:type="pct"/>
            <w:tcBorders>
              <w:tl2br w:val="nil"/>
              <w:tr2bl w:val="nil"/>
            </w:tcBorders>
            <w:vAlign w:val="center"/>
          </w:tcPr>
          <w:p w14:paraId="4A228215">
            <w:pPr>
              <w:pStyle w:val="63"/>
              <w:widowControl w:val="0"/>
              <w:rPr>
                <w:rFonts w:ascii="Times New Roman"/>
              </w:rPr>
            </w:pPr>
            <w:r>
              <w:rPr>
                <w:rFonts w:ascii="Times New Roman"/>
              </w:rPr>
              <w:t>起动失败次数</w:t>
            </w:r>
          </w:p>
        </w:tc>
        <w:tc>
          <w:tcPr>
            <w:tcW w:w="1112" w:type="pct"/>
            <w:tcBorders>
              <w:tl2br w:val="nil"/>
              <w:tr2bl w:val="nil"/>
            </w:tcBorders>
            <w:vAlign w:val="center"/>
          </w:tcPr>
          <w:p w14:paraId="48D8868B">
            <w:pPr>
              <w:pStyle w:val="63"/>
              <w:widowControl w:val="0"/>
              <w:rPr>
                <w:rFonts w:ascii="Times New Roman"/>
              </w:rPr>
            </w:pPr>
            <w:r>
              <w:rPr>
                <w:rFonts w:hint="eastAsia" w:ascii="Times New Roman"/>
              </w:rPr>
              <w:t>极限载荷</w:t>
            </w:r>
          </w:p>
        </w:tc>
      </w:tr>
      <w:tr w14:paraId="46D08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0" w:hRule="atLeast"/>
          <w:tblHeader/>
          <w:jc w:val="center"/>
        </w:trPr>
        <w:tc>
          <w:tcPr>
            <w:tcW w:w="560" w:type="pct"/>
            <w:vMerge w:val="continue"/>
            <w:tcBorders>
              <w:tl2br w:val="nil"/>
              <w:tr2bl w:val="nil"/>
            </w:tcBorders>
            <w:vAlign w:val="center"/>
          </w:tcPr>
          <w:p w14:paraId="41495788">
            <w:pPr>
              <w:pStyle w:val="63"/>
              <w:widowControl w:val="0"/>
              <w:rPr>
                <w:rFonts w:ascii="Times New Roman"/>
              </w:rPr>
            </w:pPr>
          </w:p>
        </w:tc>
        <w:tc>
          <w:tcPr>
            <w:tcW w:w="594" w:type="pct"/>
            <w:tcBorders>
              <w:tl2br w:val="nil"/>
              <w:tr2bl w:val="nil"/>
            </w:tcBorders>
            <w:vAlign w:val="center"/>
          </w:tcPr>
          <w:p w14:paraId="47E09A68">
            <w:pPr>
              <w:pStyle w:val="63"/>
              <w:widowControl w:val="0"/>
              <w:rPr>
                <w:rFonts w:ascii="Times New Roman"/>
              </w:rPr>
            </w:pPr>
            <w:r>
              <w:rPr>
                <w:rFonts w:ascii="Times New Roman"/>
              </w:rPr>
              <w:t>N·m</w:t>
            </w:r>
          </w:p>
        </w:tc>
        <w:tc>
          <w:tcPr>
            <w:tcW w:w="596" w:type="pct"/>
            <w:tcBorders>
              <w:tl2br w:val="nil"/>
              <w:tr2bl w:val="nil"/>
            </w:tcBorders>
          </w:tcPr>
          <w:p w14:paraId="7D5EEB62">
            <w:pPr>
              <w:pStyle w:val="63"/>
              <w:widowControl w:val="0"/>
              <w:rPr>
                <w:rFonts w:ascii="Times New Roman"/>
              </w:rPr>
            </w:pPr>
            <w:r>
              <w:rPr>
                <w:rFonts w:ascii="Times New Roman"/>
              </w:rPr>
              <w:t>s</w:t>
            </w:r>
          </w:p>
        </w:tc>
        <w:tc>
          <w:tcPr>
            <w:tcW w:w="670" w:type="pct"/>
            <w:tcBorders>
              <w:tl2br w:val="nil"/>
              <w:tr2bl w:val="nil"/>
            </w:tcBorders>
          </w:tcPr>
          <w:p w14:paraId="265AC8F8">
            <w:pPr>
              <w:pStyle w:val="63"/>
              <w:widowControl w:val="0"/>
              <w:rPr>
                <w:rFonts w:ascii="Times New Roman"/>
              </w:rPr>
            </w:pPr>
            <w:r>
              <w:rPr>
                <w:rFonts w:ascii="Times New Roman"/>
              </w:rPr>
              <w:t>r/min</w:t>
            </w:r>
          </w:p>
        </w:tc>
        <w:tc>
          <w:tcPr>
            <w:tcW w:w="731" w:type="pct"/>
            <w:tcBorders>
              <w:tl2br w:val="nil"/>
              <w:tr2bl w:val="nil"/>
            </w:tcBorders>
            <w:vAlign w:val="center"/>
          </w:tcPr>
          <w:p w14:paraId="611F979A">
            <w:pPr>
              <w:pStyle w:val="63"/>
              <w:widowControl w:val="0"/>
              <w:rPr>
                <w:rFonts w:ascii="Times New Roman"/>
              </w:rPr>
            </w:pPr>
            <w:r>
              <w:rPr>
                <w:rFonts w:ascii="Times New Roman"/>
              </w:rPr>
              <w:t>s</w:t>
            </w:r>
          </w:p>
        </w:tc>
        <w:tc>
          <w:tcPr>
            <w:tcW w:w="734" w:type="pct"/>
            <w:tcBorders>
              <w:tl2br w:val="nil"/>
              <w:tr2bl w:val="nil"/>
            </w:tcBorders>
            <w:vAlign w:val="center"/>
          </w:tcPr>
          <w:p w14:paraId="2CF7A4AE">
            <w:pPr>
              <w:pStyle w:val="63"/>
              <w:widowControl w:val="0"/>
              <w:rPr>
                <w:rFonts w:ascii="Times New Roman"/>
              </w:rPr>
            </w:pPr>
            <w:r>
              <w:rPr>
                <w:rFonts w:ascii="Times New Roman"/>
              </w:rPr>
              <w:t>--</w:t>
            </w:r>
          </w:p>
        </w:tc>
        <w:tc>
          <w:tcPr>
            <w:tcW w:w="1112" w:type="pct"/>
            <w:tcBorders>
              <w:tl2br w:val="nil"/>
              <w:tr2bl w:val="nil"/>
            </w:tcBorders>
            <w:vAlign w:val="center"/>
          </w:tcPr>
          <w:p w14:paraId="35B3CB27">
            <w:pPr>
              <w:pStyle w:val="63"/>
              <w:widowControl w:val="0"/>
              <w:rPr>
                <w:rFonts w:ascii="Times New Roman"/>
              </w:rPr>
            </w:pPr>
            <w:r>
              <w:rPr>
                <w:rFonts w:ascii="Times New Roman"/>
              </w:rPr>
              <w:t>N·m</w:t>
            </w:r>
          </w:p>
        </w:tc>
      </w:tr>
      <w:tr w14:paraId="65C10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5" w:hRule="atLeast"/>
          <w:jc w:val="center"/>
        </w:trPr>
        <w:tc>
          <w:tcPr>
            <w:tcW w:w="560" w:type="pct"/>
            <w:tcBorders>
              <w:tl2br w:val="nil"/>
              <w:tr2bl w:val="nil"/>
            </w:tcBorders>
            <w:vAlign w:val="center"/>
          </w:tcPr>
          <w:p w14:paraId="7C3BEBBC">
            <w:pPr>
              <w:pStyle w:val="63"/>
              <w:widowControl w:val="0"/>
              <w:rPr>
                <w:rFonts w:ascii="Times New Roman"/>
              </w:rPr>
            </w:pPr>
            <w:r>
              <w:rPr>
                <w:rFonts w:hint="eastAsia" w:ascii="Times New Roman"/>
              </w:rPr>
              <w:t>第一次</w:t>
            </w:r>
          </w:p>
        </w:tc>
        <w:tc>
          <w:tcPr>
            <w:tcW w:w="594" w:type="pct"/>
            <w:tcBorders>
              <w:tl2br w:val="nil"/>
              <w:tr2bl w:val="nil"/>
            </w:tcBorders>
            <w:vAlign w:val="center"/>
          </w:tcPr>
          <w:p w14:paraId="6B2E5718">
            <w:pPr>
              <w:pStyle w:val="63"/>
              <w:widowControl w:val="0"/>
              <w:rPr>
                <w:rFonts w:ascii="Times New Roman"/>
              </w:rPr>
            </w:pPr>
          </w:p>
        </w:tc>
        <w:tc>
          <w:tcPr>
            <w:tcW w:w="596" w:type="pct"/>
            <w:tcBorders>
              <w:tl2br w:val="nil"/>
              <w:tr2bl w:val="nil"/>
            </w:tcBorders>
          </w:tcPr>
          <w:p w14:paraId="5F1DB665">
            <w:pPr>
              <w:pStyle w:val="63"/>
              <w:widowControl w:val="0"/>
              <w:rPr>
                <w:rFonts w:ascii="Times New Roman"/>
              </w:rPr>
            </w:pPr>
          </w:p>
        </w:tc>
        <w:tc>
          <w:tcPr>
            <w:tcW w:w="670" w:type="pct"/>
            <w:tcBorders>
              <w:tl2br w:val="nil"/>
              <w:tr2bl w:val="nil"/>
            </w:tcBorders>
          </w:tcPr>
          <w:p w14:paraId="6334574D">
            <w:pPr>
              <w:pStyle w:val="63"/>
              <w:widowControl w:val="0"/>
              <w:rPr>
                <w:rFonts w:ascii="Times New Roman"/>
              </w:rPr>
            </w:pPr>
          </w:p>
        </w:tc>
        <w:tc>
          <w:tcPr>
            <w:tcW w:w="731" w:type="pct"/>
            <w:tcBorders>
              <w:tl2br w:val="nil"/>
              <w:tr2bl w:val="nil"/>
            </w:tcBorders>
            <w:vAlign w:val="center"/>
          </w:tcPr>
          <w:p w14:paraId="3B01890C">
            <w:pPr>
              <w:pStyle w:val="63"/>
              <w:widowControl w:val="0"/>
              <w:rPr>
                <w:rFonts w:ascii="Times New Roman"/>
              </w:rPr>
            </w:pPr>
          </w:p>
        </w:tc>
        <w:tc>
          <w:tcPr>
            <w:tcW w:w="734" w:type="pct"/>
            <w:tcBorders>
              <w:tl2br w:val="nil"/>
              <w:tr2bl w:val="nil"/>
            </w:tcBorders>
            <w:vAlign w:val="center"/>
          </w:tcPr>
          <w:p w14:paraId="386A1117">
            <w:pPr>
              <w:pStyle w:val="63"/>
              <w:widowControl w:val="0"/>
              <w:rPr>
                <w:rFonts w:ascii="Times New Roman"/>
              </w:rPr>
            </w:pPr>
          </w:p>
        </w:tc>
        <w:tc>
          <w:tcPr>
            <w:tcW w:w="1112" w:type="pct"/>
            <w:tcBorders>
              <w:tl2br w:val="nil"/>
              <w:tr2bl w:val="nil"/>
            </w:tcBorders>
            <w:vAlign w:val="center"/>
          </w:tcPr>
          <w:p w14:paraId="3B22B4A9">
            <w:pPr>
              <w:pStyle w:val="63"/>
              <w:widowControl w:val="0"/>
              <w:rPr>
                <w:rFonts w:ascii="Times New Roman"/>
              </w:rPr>
            </w:pPr>
          </w:p>
        </w:tc>
      </w:tr>
      <w:tr w14:paraId="3C15A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5" w:hRule="atLeast"/>
          <w:jc w:val="center"/>
        </w:trPr>
        <w:tc>
          <w:tcPr>
            <w:tcW w:w="560" w:type="pct"/>
            <w:tcBorders>
              <w:tl2br w:val="nil"/>
              <w:tr2bl w:val="nil"/>
            </w:tcBorders>
            <w:vAlign w:val="center"/>
          </w:tcPr>
          <w:p w14:paraId="5CE0E071">
            <w:pPr>
              <w:pStyle w:val="63"/>
              <w:widowControl w:val="0"/>
              <w:rPr>
                <w:rFonts w:ascii="Times New Roman"/>
              </w:rPr>
            </w:pPr>
            <w:r>
              <w:rPr>
                <w:rFonts w:hint="eastAsia" w:ascii="Times New Roman"/>
              </w:rPr>
              <w:t>第二次</w:t>
            </w:r>
          </w:p>
        </w:tc>
        <w:tc>
          <w:tcPr>
            <w:tcW w:w="594" w:type="pct"/>
            <w:tcBorders>
              <w:tl2br w:val="nil"/>
              <w:tr2bl w:val="nil"/>
            </w:tcBorders>
            <w:vAlign w:val="center"/>
          </w:tcPr>
          <w:p w14:paraId="5185743D">
            <w:pPr>
              <w:pStyle w:val="63"/>
              <w:widowControl w:val="0"/>
              <w:rPr>
                <w:rFonts w:ascii="Times New Roman"/>
              </w:rPr>
            </w:pPr>
          </w:p>
        </w:tc>
        <w:tc>
          <w:tcPr>
            <w:tcW w:w="596" w:type="pct"/>
            <w:tcBorders>
              <w:tl2br w:val="nil"/>
              <w:tr2bl w:val="nil"/>
            </w:tcBorders>
          </w:tcPr>
          <w:p w14:paraId="726E99C8">
            <w:pPr>
              <w:pStyle w:val="63"/>
              <w:widowControl w:val="0"/>
              <w:rPr>
                <w:rFonts w:ascii="Times New Roman"/>
              </w:rPr>
            </w:pPr>
          </w:p>
        </w:tc>
        <w:tc>
          <w:tcPr>
            <w:tcW w:w="670" w:type="pct"/>
            <w:tcBorders>
              <w:tl2br w:val="nil"/>
              <w:tr2bl w:val="nil"/>
            </w:tcBorders>
          </w:tcPr>
          <w:p w14:paraId="4197E3A9">
            <w:pPr>
              <w:pStyle w:val="63"/>
              <w:widowControl w:val="0"/>
              <w:rPr>
                <w:rFonts w:ascii="Times New Roman"/>
              </w:rPr>
            </w:pPr>
          </w:p>
        </w:tc>
        <w:tc>
          <w:tcPr>
            <w:tcW w:w="731" w:type="pct"/>
            <w:tcBorders>
              <w:tl2br w:val="nil"/>
              <w:tr2bl w:val="nil"/>
            </w:tcBorders>
            <w:vAlign w:val="center"/>
          </w:tcPr>
          <w:p w14:paraId="435AE2C2">
            <w:pPr>
              <w:pStyle w:val="63"/>
              <w:widowControl w:val="0"/>
              <w:rPr>
                <w:rFonts w:ascii="Times New Roman"/>
              </w:rPr>
            </w:pPr>
          </w:p>
        </w:tc>
        <w:tc>
          <w:tcPr>
            <w:tcW w:w="734" w:type="pct"/>
            <w:tcBorders>
              <w:tl2br w:val="nil"/>
              <w:tr2bl w:val="nil"/>
            </w:tcBorders>
            <w:vAlign w:val="center"/>
          </w:tcPr>
          <w:p w14:paraId="645DE58A">
            <w:pPr>
              <w:pStyle w:val="63"/>
              <w:widowControl w:val="0"/>
              <w:rPr>
                <w:rFonts w:ascii="Times New Roman"/>
              </w:rPr>
            </w:pPr>
          </w:p>
        </w:tc>
        <w:tc>
          <w:tcPr>
            <w:tcW w:w="1112" w:type="pct"/>
            <w:tcBorders>
              <w:tl2br w:val="nil"/>
              <w:tr2bl w:val="nil"/>
            </w:tcBorders>
            <w:vAlign w:val="center"/>
          </w:tcPr>
          <w:p w14:paraId="275A43D1">
            <w:pPr>
              <w:pStyle w:val="63"/>
              <w:widowControl w:val="0"/>
              <w:rPr>
                <w:rFonts w:ascii="Times New Roman"/>
              </w:rPr>
            </w:pPr>
          </w:p>
        </w:tc>
      </w:tr>
      <w:tr w14:paraId="67BCA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5" w:hRule="atLeast"/>
          <w:jc w:val="center"/>
        </w:trPr>
        <w:tc>
          <w:tcPr>
            <w:tcW w:w="560" w:type="pct"/>
            <w:tcBorders>
              <w:tl2br w:val="nil"/>
              <w:tr2bl w:val="nil"/>
            </w:tcBorders>
            <w:vAlign w:val="center"/>
          </w:tcPr>
          <w:p w14:paraId="6DEB782C">
            <w:pPr>
              <w:pStyle w:val="63"/>
              <w:widowControl w:val="0"/>
              <w:rPr>
                <w:rFonts w:ascii="Times New Roman"/>
              </w:rPr>
            </w:pPr>
            <w:r>
              <w:rPr>
                <w:rFonts w:hint="eastAsia" w:ascii="Times New Roman"/>
              </w:rPr>
              <w:t>第三次</w:t>
            </w:r>
          </w:p>
        </w:tc>
        <w:tc>
          <w:tcPr>
            <w:tcW w:w="594" w:type="pct"/>
            <w:tcBorders>
              <w:tl2br w:val="nil"/>
              <w:tr2bl w:val="nil"/>
            </w:tcBorders>
            <w:vAlign w:val="center"/>
          </w:tcPr>
          <w:p w14:paraId="0DEFC1D5">
            <w:pPr>
              <w:pStyle w:val="63"/>
              <w:widowControl w:val="0"/>
              <w:rPr>
                <w:rFonts w:ascii="Times New Roman"/>
              </w:rPr>
            </w:pPr>
          </w:p>
        </w:tc>
        <w:tc>
          <w:tcPr>
            <w:tcW w:w="596" w:type="pct"/>
            <w:tcBorders>
              <w:tl2br w:val="nil"/>
              <w:tr2bl w:val="nil"/>
            </w:tcBorders>
          </w:tcPr>
          <w:p w14:paraId="04312201">
            <w:pPr>
              <w:pStyle w:val="63"/>
              <w:widowControl w:val="0"/>
              <w:rPr>
                <w:rFonts w:ascii="Times New Roman"/>
              </w:rPr>
            </w:pPr>
          </w:p>
        </w:tc>
        <w:tc>
          <w:tcPr>
            <w:tcW w:w="670" w:type="pct"/>
            <w:tcBorders>
              <w:tl2br w:val="nil"/>
              <w:tr2bl w:val="nil"/>
            </w:tcBorders>
          </w:tcPr>
          <w:p w14:paraId="51C80BE1">
            <w:pPr>
              <w:pStyle w:val="63"/>
              <w:widowControl w:val="0"/>
              <w:rPr>
                <w:rFonts w:ascii="Times New Roman"/>
              </w:rPr>
            </w:pPr>
          </w:p>
        </w:tc>
        <w:tc>
          <w:tcPr>
            <w:tcW w:w="731" w:type="pct"/>
            <w:tcBorders>
              <w:tl2br w:val="nil"/>
              <w:tr2bl w:val="nil"/>
            </w:tcBorders>
            <w:vAlign w:val="center"/>
          </w:tcPr>
          <w:p w14:paraId="722C8F70">
            <w:pPr>
              <w:pStyle w:val="63"/>
              <w:widowControl w:val="0"/>
              <w:rPr>
                <w:rFonts w:ascii="Times New Roman"/>
              </w:rPr>
            </w:pPr>
          </w:p>
        </w:tc>
        <w:tc>
          <w:tcPr>
            <w:tcW w:w="734" w:type="pct"/>
            <w:tcBorders>
              <w:tl2br w:val="nil"/>
              <w:tr2bl w:val="nil"/>
            </w:tcBorders>
            <w:vAlign w:val="center"/>
          </w:tcPr>
          <w:p w14:paraId="2D87C67E">
            <w:pPr>
              <w:pStyle w:val="63"/>
              <w:widowControl w:val="0"/>
              <w:rPr>
                <w:rFonts w:ascii="Times New Roman"/>
              </w:rPr>
            </w:pPr>
          </w:p>
        </w:tc>
        <w:tc>
          <w:tcPr>
            <w:tcW w:w="1112" w:type="pct"/>
            <w:tcBorders>
              <w:tl2br w:val="nil"/>
              <w:tr2bl w:val="nil"/>
            </w:tcBorders>
            <w:vAlign w:val="center"/>
          </w:tcPr>
          <w:p w14:paraId="12CBCB27">
            <w:pPr>
              <w:pStyle w:val="63"/>
              <w:widowControl w:val="0"/>
              <w:rPr>
                <w:rFonts w:ascii="Times New Roman"/>
              </w:rPr>
            </w:pPr>
          </w:p>
        </w:tc>
      </w:tr>
    </w:tbl>
    <w:p w14:paraId="1B0FC4BD">
      <w:pPr>
        <w:rPr>
          <w:rStyle w:val="21"/>
          <w:rFonts w:ascii="Times New Roman" w:hAnsi="Times New Roman" w:cs="Times New Roman"/>
          <w:b w:val="0"/>
          <w:bCs/>
          <w:szCs w:val="21"/>
        </w:rPr>
      </w:pPr>
    </w:p>
    <w:p w14:paraId="7726BD97">
      <w:pPr>
        <w:rPr>
          <w:rStyle w:val="21"/>
          <w:rFonts w:ascii="Times New Roman" w:hAnsi="Times New Roman" w:cs="Times New Roman"/>
          <w:b w:val="0"/>
          <w:bCs/>
          <w:szCs w:val="21"/>
        </w:rPr>
      </w:pPr>
    </w:p>
    <w:p w14:paraId="15FCFF1B">
      <w:pPr>
        <w:rPr>
          <w:rStyle w:val="21"/>
          <w:rFonts w:ascii="Times New Roman" w:hAnsi="Times New Roman" w:cs="Times New Roman"/>
          <w:b w:val="0"/>
          <w:bCs/>
          <w:szCs w:val="21"/>
        </w:rPr>
        <w:sectPr>
          <w:headerReference r:id="rId20" w:type="first"/>
          <w:footerReference r:id="rId21" w:type="first"/>
          <w:pgSz w:w="11906" w:h="16838"/>
          <w:pgMar w:top="1418" w:right="1134" w:bottom="1134" w:left="1418" w:header="1418" w:footer="1134" w:gutter="0"/>
          <w:pgBorders>
            <w:top w:val="none" w:sz="0" w:space="0"/>
            <w:left w:val="none" w:sz="0" w:space="0"/>
            <w:bottom w:val="none" w:sz="0" w:space="0"/>
            <w:right w:val="none" w:sz="0" w:space="0"/>
          </w:pgBorders>
          <w:pgNumType w:fmt="decimal"/>
          <w:cols w:space="425" w:num="1"/>
          <w:titlePg/>
          <w:docGrid w:type="lines" w:linePitch="312" w:charSpace="0"/>
        </w:sectPr>
      </w:pPr>
    </w:p>
    <w:p w14:paraId="06E94F3B">
      <w:pPr>
        <w:jc w:val="center"/>
        <w:rPr>
          <w:rFonts w:ascii="Times New Roman" w:hAnsi="Times New Roman" w:cs="Times New Roman"/>
          <w:szCs w:val="21"/>
        </w:rPr>
      </w:pPr>
      <w:r>
        <w:rPr>
          <w:rFonts w:ascii="Times New Roman" w:hAnsi="Times New Roman" w:cs="Times New Roman"/>
          <w:szCs w:val="21"/>
        </w:rPr>
        <mc:AlternateContent>
          <mc:Choice Requires="wps">
            <w:drawing>
              <wp:anchor distT="0" distB="0" distL="114300" distR="114300" simplePos="0" relativeHeight="251662336" behindDoc="0" locked="0" layoutInCell="1" allowOverlap="1">
                <wp:simplePos x="0" y="0"/>
                <wp:positionH relativeFrom="column">
                  <wp:posOffset>5972810</wp:posOffset>
                </wp:positionH>
                <wp:positionV relativeFrom="paragraph">
                  <wp:posOffset>3810</wp:posOffset>
                </wp:positionV>
                <wp:extent cx="476250" cy="1485900"/>
                <wp:effectExtent l="0" t="0" r="0" b="0"/>
                <wp:wrapNone/>
                <wp:docPr id="156267049" name="文本框 2"/>
                <wp:cNvGraphicFramePr/>
                <a:graphic xmlns:a="http://schemas.openxmlformats.org/drawingml/2006/main">
                  <a:graphicData uri="http://schemas.microsoft.com/office/word/2010/wordprocessingShape">
                    <wps:wsp>
                      <wps:cNvSpPr txBox="1"/>
                      <wps:spPr>
                        <a:xfrm>
                          <a:off x="0" y="0"/>
                          <a:ext cx="476250" cy="1485900"/>
                        </a:xfrm>
                        <a:prstGeom prst="rect">
                          <a:avLst/>
                        </a:prstGeom>
                        <a:noFill/>
                        <a:ln w="6350">
                          <a:noFill/>
                        </a:ln>
                      </wps:spPr>
                      <wps:txbx>
                        <w:txbxContent>
                          <w:p w14:paraId="45141521">
                            <w:pPr>
                              <w:rPr>
                                <w:rFonts w:hint="eastAsia"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T/CSICE XXX-XXX</w:t>
                            </w:r>
                          </w:p>
                        </w:txbxContent>
                      </wps:txbx>
                      <wps:bodyPr rot="0" spcFirstLastPara="0" vertOverflow="overflow" horzOverflow="overflow" vert="vert270" wrap="square" lIns="91440" tIns="45720" rIns="91440" bIns="45720" numCol="1" spcCol="0" rtlCol="0" fromWordArt="0" anchor="t" anchorCtr="0" forceAA="0" compatLnSpc="1">
                        <a:noAutofit/>
                      </wps:bodyPr>
                    </wps:wsp>
                  </a:graphicData>
                </a:graphic>
              </wp:anchor>
            </w:drawing>
          </mc:Choice>
          <mc:Fallback>
            <w:pict>
              <v:shape id="文本框 2" o:spid="_x0000_s1026" o:spt="202" type="#_x0000_t202" style="position:absolute;left:0pt;margin-left:470.3pt;margin-top:0.3pt;height:117pt;width:37.5pt;z-index:251662336;mso-width-relative:page;mso-height-relative:page;" filled="f" stroked="f" coordsize="21600,21600" o:gfxdata="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HomQrdkAAAAJAQAADwAAAAAAAAABACAAAAAi&#10;AAAAZHJzL2Rvd25yZXYueG1sUEsBAhQAFAAAAAgAh07iQClkmxlCAgAAcQQAAA4AAAAAAAAAAQAg&#10;AAAAKAEAAGRycy9lMm9Eb2MueG1sUEsFBgAAAAAGAAYAWQEAANwFAAAAAA==&#10;">
                <v:fill on="f" focussize="0,0"/>
                <v:stroke on="f" weight="0.5pt"/>
                <v:imagedata o:title=""/>
                <o:lock v:ext="edit" aspectratio="f"/>
                <v:textbox style="layout-flow:vertical;mso-layout-flow-alt:bottom-to-top;">
                  <w:txbxContent>
                    <w:p w14:paraId="45141521">
                      <w:pPr>
                        <w:rPr>
                          <w:rFonts w:hint="eastAsia"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T/CSICE XXX-XXX</w:t>
                      </w:r>
                    </w:p>
                  </w:txbxContent>
                </v:textbox>
              </v:shape>
            </w:pict>
          </mc:Fallback>
        </mc:AlternateContent>
      </w:r>
    </w:p>
    <w:p w14:paraId="1DE0167B">
      <w:pPr>
        <w:pStyle w:val="25"/>
        <w:ind w:firstLine="0" w:firstLineChars="0"/>
        <w:rPr>
          <w:rFonts w:ascii="Times New Roman" w:hAnsi="Times New Roman"/>
        </w:rPr>
      </w:pPr>
    </w:p>
    <w:p w14:paraId="5B0D0F7C">
      <w:pPr>
        <w:rPr>
          <w:rFonts w:ascii="Times New Roman" w:hAnsi="Times New Roman" w:cs="Times New Roman"/>
        </w:rPr>
      </w:pPr>
    </w:p>
    <w:sectPr>
      <w:headerReference r:id="rId22" w:type="first"/>
      <w:footerReference r:id="rId23" w:type="first"/>
      <w:pgSz w:w="11906" w:h="16838"/>
      <w:pgMar w:top="1418" w:right="1134" w:bottom="1134" w:left="1418" w:header="1418" w:footer="1134" w:gutter="0"/>
      <w:pgBorders>
        <w:top w:val="none" w:sz="0" w:space="0"/>
        <w:left w:val="none" w:sz="0" w:space="0"/>
        <w:bottom w:val="none" w:sz="0" w:space="0"/>
        <w:right w:val="none" w:sz="0" w:space="0"/>
      </w:pgBorders>
      <w:pgNumType w:fmt="decimal"/>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39855556"/>
    </w:sdtPr>
    <w:sdtContent>
      <w:p w14:paraId="0B22E448">
        <w:pPr>
          <w:pStyle w:val="59"/>
          <w:rPr>
            <w:rFonts w:hint="eastAsia"/>
          </w:rPr>
        </w:pPr>
        <w:r>
          <w:fldChar w:fldCharType="begin"/>
        </w:r>
        <w:r>
          <w:rPr>
            <w:rFonts w:hint="eastAsia"/>
          </w:rPr>
          <w:instrText xml:space="preserve">PAGE   \* MERGEFORMAT</w:instrText>
        </w:r>
        <w:r>
          <w:fldChar w:fldCharType="separate"/>
        </w:r>
        <w:r>
          <w:rPr>
            <w:rFonts w:hint="eastAsia"/>
            <w:lang w:val="zh-CN"/>
          </w:rPr>
          <w:t>2</w:t>
        </w:r>
        <w:r>
          <w:fldChar w:fldCharType="end"/>
        </w:r>
      </w:p>
    </w:sdtContent>
  </w:sdt>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59D661">
    <w:pPr>
      <w:ind w:left="227"/>
      <w:rPr>
        <w:rFonts w:hint="eastAsia"/>
      </w:rPr>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A5528F">
                          <w:pPr>
                            <w:pStyle w:val="11"/>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z1oQ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989aEMQIAAGMEAAAOAAAAAAAAAAEAIAAAAB8BAABkcnMvZTJvRG9jLnhtbFBLBQYA&#10;AAAABgAGAFkBAADCBQAAAAA=&#10;">
              <v:fill on="f" focussize="0,0"/>
              <v:stroke on="f" weight="0.5pt"/>
              <v:imagedata o:title=""/>
              <o:lock v:ext="edit" aspectratio="f"/>
              <v:textbox inset="0mm,0mm,0mm,0mm" style="mso-fit-shape-to-text:t;">
                <w:txbxContent>
                  <w:p w14:paraId="36A5528F">
                    <w:pPr>
                      <w:pStyle w:val="11"/>
                    </w:pPr>
                    <w:r>
                      <w:fldChar w:fldCharType="begin"/>
                    </w:r>
                    <w:r>
                      <w:instrText xml:space="preserve"> PAGE  \* MERGEFORMAT </w:instrText>
                    </w:r>
                    <w:r>
                      <w:fldChar w:fldCharType="separate"/>
                    </w:r>
                    <w:r>
                      <w:t>9</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47049363"/>
    </w:sdtPr>
    <w:sdtContent>
      <w:p w14:paraId="3C950584">
        <w:pPr>
          <w:pStyle w:val="58"/>
          <w:rPr>
            <w:rFonts w:hint="eastAsia"/>
          </w:rPr>
        </w:pPr>
        <w:r>
          <w:rPr>
            <w:rFonts w:hint="eastAsia"/>
          </w:rPr>
          <w:fldChar w:fldCharType="begin"/>
        </w:r>
        <w:r>
          <w:rPr>
            <w:rFonts w:hint="eastAsia"/>
          </w:rPr>
          <w:instrText xml:space="preserve"> PAGE  \* Arabic  \* MERGEFORMAT </w:instrText>
        </w:r>
        <w:r>
          <w:rPr>
            <w:rFonts w:hint="eastAsia"/>
          </w:rPr>
          <w:fldChar w:fldCharType="separate"/>
        </w:r>
        <w:r>
          <w:rPr>
            <w:rFonts w:hint="eastAsia"/>
          </w:rPr>
          <w:t>2</w:t>
        </w:r>
        <w:r>
          <w:rPr>
            <w:rFonts w:hint="eastAsia"/>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8B0032">
    <w:pPr>
      <w:ind w:right="227"/>
      <w:jc w:val="right"/>
      <w:rPr>
        <w:rFonts w:hint="eastAsia"/>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4787141"/>
    </w:sdtPr>
    <w:sdtContent>
      <w:p w14:paraId="03C6E729">
        <w:pPr>
          <w:pStyle w:val="59"/>
          <w:rPr>
            <w:rFonts w:hint="eastAsia"/>
          </w:rPr>
        </w:pPr>
        <w:r>
          <w:fldChar w:fldCharType="begin"/>
        </w:r>
        <w:r>
          <w:rPr>
            <w:rFonts w:hint="eastAsia"/>
          </w:rPr>
          <w:instrText xml:space="preserve">PAGE   \* MERGEFORMAT</w:instrText>
        </w:r>
        <w:r>
          <w:fldChar w:fldCharType="separate"/>
        </w:r>
        <w:r>
          <w:rPr>
            <w:rFonts w:hint="eastAsia"/>
            <w:lang w:val="zh-CN"/>
          </w:rPr>
          <w:t>2</w:t>
        </w:r>
        <w: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96435523"/>
    </w:sdtPr>
    <w:sdtContent>
      <w:p w14:paraId="1820FD6E">
        <w:pPr>
          <w:pStyle w:val="58"/>
          <w:rPr>
            <w:rFonts w:hint="eastAsia"/>
          </w:rPr>
        </w:pPr>
        <w:r>
          <w:fldChar w:fldCharType="begin"/>
        </w:r>
        <w:r>
          <w:rPr>
            <w:rFonts w:hint="eastAsia"/>
          </w:rPr>
          <w:instrText xml:space="preserve">PAGE   \* MERGEFORMAT</w:instrText>
        </w:r>
        <w:r>
          <w:fldChar w:fldCharType="separate"/>
        </w:r>
        <w:r>
          <w:rPr>
            <w:rFonts w:hint="eastAsia"/>
            <w:lang w:val="zh-CN"/>
          </w:rPr>
          <w:t>2</w:t>
        </w:r>
        <w: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205904">
    <w:pPr>
      <w:pStyle w:val="58"/>
      <w:rPr>
        <w:rFonts w:hint="eastAsia"/>
      </w:rPr>
    </w:pPr>
    <w:sdt>
      <w:sdtPr>
        <w:id w:val="147472057"/>
      </w:sdtPr>
      <w:sdtContent>
        <w:r>
          <w:rPr>
            <w:rFonts w:hint="eastAsia"/>
          </w:rPr>
          <w:fldChar w:fldCharType="begin"/>
        </w:r>
        <w:r>
          <w:rPr>
            <w:rFonts w:hint="eastAsia"/>
          </w:rPr>
          <w:instrText xml:space="preserve"> PAGE  \* Arabic  \* MERGEFORMAT </w:instrText>
        </w:r>
        <w:r>
          <w:rPr>
            <w:rFonts w:hint="eastAsia"/>
          </w:rPr>
          <w:fldChar w:fldCharType="separate"/>
        </w:r>
        <w:r>
          <w:rPr>
            <w:rFonts w:hint="eastAsia"/>
          </w:rPr>
          <w:t>2</w:t>
        </w:r>
        <w:r>
          <w:rPr>
            <w:rFonts w:hint="eastAsia"/>
          </w:rPr>
          <w:fldChar w:fldCharType="end"/>
        </w:r>
      </w:sdtContent>
    </w:sdt>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6602A0">
    <w:pPr>
      <w:pStyle w:val="59"/>
      <w:rPr>
        <w:rFonts w:hint="eastAsia"/>
      </w:rPr>
    </w:pPr>
    <w:sdt>
      <w:sdtPr>
        <w:id w:val="147472475"/>
      </w:sdtPr>
      <w:sdtContent>
        <w:r>
          <w:fldChar w:fldCharType="begin"/>
        </w:r>
        <w:r>
          <w:rPr>
            <w:rFonts w:hint="eastAsia"/>
          </w:rPr>
          <w:instrText xml:space="preserve">PAGE   \* MERGEFORMAT</w:instrText>
        </w:r>
        <w:r>
          <w:fldChar w:fldCharType="separate"/>
        </w:r>
        <w:r>
          <w:rPr>
            <w:rFonts w:hint="eastAsia"/>
            <w:lang w:val="zh-CN"/>
          </w:rPr>
          <w:t>2</w:t>
        </w:r>
        <w:r>
          <w:fldChar w:fldCharType="end"/>
        </w:r>
      </w:sdtContent>
    </w:sdt>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3632AC">
    <w:pPr>
      <w:pStyle w:val="58"/>
      <w:ind w:left="0" w:leftChars="0" w:firstLine="219" w:firstLineChars="122"/>
      <w:jc w:val="left"/>
      <w:rPr>
        <w:rFonts w:hint="eastAsia"/>
      </w:rPr>
    </w:pPr>
    <w:sdt>
      <w:sdtPr>
        <w:id w:val="147458747"/>
      </w:sdtPr>
      <w:sdtContent>
        <w:r>
          <w:fldChar w:fldCharType="begin"/>
        </w:r>
        <w:r>
          <w:instrText xml:space="preserve">PAGE   \* MERGEFORMAT</w:instrText>
        </w:r>
        <w:r>
          <w:fldChar w:fldCharType="separate"/>
        </w:r>
        <w:r>
          <w:rPr>
            <w:lang w:val="zh-CN"/>
          </w:rPr>
          <w:t>2</w:t>
        </w:r>
        <w:r>
          <w:fldChar w:fldCharType="end"/>
        </w:r>
      </w:sdtContent>
    </w:sdt>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71CE65">
    <w:pPr>
      <w:pStyle w:val="59"/>
      <w:ind w:left="0" w:leftChars="0" w:firstLine="0" w:firstLineChars="0"/>
      <w:jc w:val="right"/>
      <w:rPr>
        <w:rFonts w:hint="eastAsia"/>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5921375" cy="154305"/>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5921375" cy="15430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52253"/>
                          </w:sdtPr>
                          <w:sdtContent>
                            <w:p w14:paraId="6EE8AE6E">
                              <w:pPr>
                                <w:pStyle w:val="59"/>
                              </w:pPr>
                              <w:r>
                                <w:fldChar w:fldCharType="begin"/>
                              </w:r>
                              <w:r>
                                <w:instrText xml:space="preserve">PAGE   \* MERGEFORMAT</w:instrText>
                              </w:r>
                              <w:r>
                                <w:fldChar w:fldCharType="separate"/>
                              </w:r>
                              <w:r>
                                <w:rPr>
                                  <w:lang w:val="zh-CN"/>
                                </w:rPr>
                                <w:t>2</w:t>
                              </w:r>
                              <w:r>
                                <w:fldChar w:fldCharType="end"/>
                              </w:r>
                            </w:p>
                          </w:sdtContent>
                        </w:sdt>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top:0pt;height:12.15pt;width:466.25pt;mso-position-horizontal:center;mso-position-horizontal-relative:margin;z-index:251662336;mso-width-relative:page;mso-height-relative:page;" filled="f" stroked="f" coordsize="21600,21600" o:gfxdata="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jUQjC1AAAAAQBAAAPAAAAAAAAAAEAIAAAACIAAABkcnMvZG93bnJl&#10;di54bWxQSwECFAAUAAAACACHTuJARVz68joCAABkBAAADgAAAAAAAAABACAAAAAjAQAAZHJzL2Uy&#10;b0RvYy54bWxQSwUGAAAAAAYABgBZAQAAzwUAAAAA&#10;">
              <v:fill on="f" focussize="0,0"/>
              <v:stroke on="f" weight="0.5pt"/>
              <v:imagedata o:title=""/>
              <o:lock v:ext="edit" aspectratio="f"/>
              <v:textbox inset="0mm,0mm,0mm,0mm">
                <w:txbxContent>
                  <w:sdt>
                    <w:sdtPr>
                      <w:id w:val="147452253"/>
                    </w:sdtPr>
                    <w:sdtContent>
                      <w:p w14:paraId="6EE8AE6E">
                        <w:pPr>
                          <w:pStyle w:val="59"/>
                        </w:pPr>
                        <w:r>
                          <w:fldChar w:fldCharType="begin"/>
                        </w:r>
                        <w:r>
                          <w:instrText xml:space="preserve">PAGE   \* MERGEFORMAT</w:instrText>
                        </w:r>
                        <w:r>
                          <w:fldChar w:fldCharType="separate"/>
                        </w:r>
                        <w:r>
                          <w:rPr>
                            <w:lang w:val="zh-CN"/>
                          </w:rPr>
                          <w:t>2</w:t>
                        </w:r>
                        <w:r>
                          <w:fldChar w:fldCharType="end"/>
                        </w:r>
                      </w:p>
                    </w:sdtContent>
                  </w:sdt>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8C2811">
    <w:pPr>
      <w:pStyle w:val="26"/>
      <w:rPr>
        <w:rFonts w:hint="eastAsia"/>
      </w:rPr>
    </w:pPr>
  </w:p>
  <w:p w14:paraId="2CA2C7B9">
    <w:pPr>
      <w:pStyle w:val="26"/>
      <w:rPr>
        <w:rFonts w:hint="eastAsia"/>
      </w:rPr>
    </w:pPr>
    <w:r>
      <w:rPr>
        <w:rFonts w:hint="eastAsia"/>
      </w:rPr>
      <w:t>T/CSICE 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4FDA0E">
    <w:pPr>
      <w:pStyle w:val="26"/>
      <w:rPr>
        <w:rFonts w:hint="eastAsia"/>
      </w:rPr>
    </w:pPr>
    <w:r>
      <w:rPr>
        <w:rFonts w:hint="eastAsia"/>
      </w:rPr>
      <w:t>T/CSICE XXX-XXX</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80E1A5">
    <w:pP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81293B">
    <w:pPr>
      <w:jc w:val="right"/>
      <w:rPr>
        <w:rFonts w:hint="eastAsia" w:ascii="黑体" w:hAnsi="黑体" w:eastAsia="黑体"/>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A9E4D7">
    <w:pPr>
      <w:jc w:val="right"/>
      <w:rPr>
        <w:rFonts w:hint="eastAsia" w:ascii="黑体" w:hAnsi="黑体" w:eastAsia="黑体"/>
        <w:szCs w:val="21"/>
      </w:rPr>
    </w:pPr>
  </w:p>
  <w:p w14:paraId="3EB9CD4D">
    <w:pPr>
      <w:jc w:val="right"/>
      <w:rPr>
        <w:rFonts w:hint="eastAsia" w:ascii="黑体" w:hAnsi="黑体" w:eastAsia="黑体"/>
        <w:szCs w:val="21"/>
      </w:rPr>
    </w:pPr>
    <w:r>
      <w:rPr>
        <w:rFonts w:hint="eastAsia" w:ascii="黑体" w:hAnsi="黑体" w:eastAsia="黑体"/>
        <w:szCs w:val="21"/>
      </w:rPr>
      <w:t>T/CSICE XXX-XXX</w:t>
    </w:r>
  </w:p>
  <w:p w14:paraId="5C5B339D">
    <w:pPr>
      <w:pStyle w:val="46"/>
      <w:rPr>
        <w:rFonts w:hint="eastAsi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1B3BFA">
    <w:pPr>
      <w:rPr>
        <w:rFonts w:hint="eastAsia"/>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189541">
    <w:pPr>
      <w:pStyle w:val="46"/>
      <w:rPr>
        <w:rFonts w:hint="eastAsia"/>
      </w:rPr>
    </w:pPr>
  </w:p>
  <w:p w14:paraId="60A6E6C3">
    <w:pPr>
      <w:pStyle w:val="46"/>
      <w:rPr>
        <w:rFonts w:hint="eastAsia"/>
      </w:rPr>
    </w:pPr>
    <w:r>
      <w:rPr>
        <w:rFonts w:hint="eastAsia"/>
      </w:rPr>
      <w:t>T/CSICE XXX-XXX</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CA5955">
    <w:pPr>
      <w:pStyle w:val="46"/>
      <w:rPr>
        <w:rFonts w:hint="eastAsia"/>
      </w:rPr>
    </w:pPr>
    <w:r>
      <w:rPr>
        <w:rFonts w:hint="eastAsia"/>
      </w:rPr>
      <w:t>T/CSICE XXX-XXX</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AE0334">
    <w:pPr>
      <w:pStyle w:val="26"/>
      <w:rPr>
        <w:rFonts w:hint="eastAsia"/>
      </w:rPr>
    </w:pPr>
    <w:r>
      <w:rPr>
        <w:rFonts w:hint="eastAsia"/>
      </w:rPr>
      <w:t>T/CSICE XXX-XXX</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2637BA">
    <w:pPr>
      <w:pStyle w:val="26"/>
      <w:rPr>
        <w:rFonts w:hint="eastAsia"/>
      </w:rPr>
    </w:pPr>
    <w:r>
      <w:rPr>
        <w:rFonts w:hint="eastAsia"/>
      </w:rPr>
      <w:t>T/CSICE XXX-XXX</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095808">
    <w:pPr>
      <w:pStyle w:val="26"/>
      <w:rPr>
        <w:rFonts w:hint="eastAsia"/>
      </w:rPr>
    </w:pPr>
    <w:r>
      <w:rPr>
        <w:rFonts w:hint="eastAsia"/>
      </w:rPr>
      <w:t>T/CSICE 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6B53D98"/>
    <w:multiLevelType w:val="multilevel"/>
    <w:tmpl w:val="D6B53D98"/>
    <w:lvl w:ilvl="0" w:tentative="0">
      <w:start w:val="1"/>
      <w:numFmt w:val="lowerLetter"/>
      <w:lvlText w:val="%1)"/>
      <w:lvlJc w:val="left"/>
      <w:pPr>
        <w:ind w:left="860" w:hanging="440"/>
      </w:pPr>
    </w:lvl>
    <w:lvl w:ilvl="1" w:tentative="0">
      <w:start w:val="1"/>
      <w:numFmt w:val="lowerLetter"/>
      <w:lvlText w:val="%2)"/>
      <w:lvlJc w:val="left"/>
      <w:pPr>
        <w:ind w:left="1300" w:hanging="440"/>
      </w:pPr>
    </w:lvl>
    <w:lvl w:ilvl="2" w:tentative="0">
      <w:start w:val="1"/>
      <w:numFmt w:val="lowerRoman"/>
      <w:lvlText w:val="%3."/>
      <w:lvlJc w:val="right"/>
      <w:pPr>
        <w:ind w:left="1740" w:hanging="440"/>
      </w:pPr>
    </w:lvl>
    <w:lvl w:ilvl="3" w:tentative="0">
      <w:start w:val="1"/>
      <w:numFmt w:val="decimal"/>
      <w:lvlText w:val="%4."/>
      <w:lvlJc w:val="left"/>
      <w:pPr>
        <w:ind w:left="2180" w:hanging="440"/>
      </w:pPr>
    </w:lvl>
    <w:lvl w:ilvl="4" w:tentative="0">
      <w:start w:val="1"/>
      <w:numFmt w:val="lowerLetter"/>
      <w:lvlText w:val="%5)"/>
      <w:lvlJc w:val="left"/>
      <w:pPr>
        <w:ind w:left="2620" w:hanging="440"/>
      </w:pPr>
    </w:lvl>
    <w:lvl w:ilvl="5" w:tentative="0">
      <w:start w:val="1"/>
      <w:numFmt w:val="lowerRoman"/>
      <w:lvlText w:val="%6."/>
      <w:lvlJc w:val="right"/>
      <w:pPr>
        <w:ind w:left="3060" w:hanging="440"/>
      </w:pPr>
    </w:lvl>
    <w:lvl w:ilvl="6" w:tentative="0">
      <w:start w:val="1"/>
      <w:numFmt w:val="decimal"/>
      <w:lvlText w:val="%7."/>
      <w:lvlJc w:val="left"/>
      <w:pPr>
        <w:ind w:left="3500" w:hanging="440"/>
      </w:pPr>
    </w:lvl>
    <w:lvl w:ilvl="7" w:tentative="0">
      <w:start w:val="1"/>
      <w:numFmt w:val="lowerLetter"/>
      <w:lvlText w:val="%8)"/>
      <w:lvlJc w:val="left"/>
      <w:pPr>
        <w:ind w:left="3940" w:hanging="440"/>
      </w:pPr>
    </w:lvl>
    <w:lvl w:ilvl="8" w:tentative="0">
      <w:start w:val="1"/>
      <w:numFmt w:val="lowerRoman"/>
      <w:lvlText w:val="%9."/>
      <w:lvlJc w:val="right"/>
      <w:pPr>
        <w:ind w:left="4380" w:hanging="440"/>
      </w:pPr>
    </w:lvl>
  </w:abstractNum>
  <w:abstractNum w:abstractNumId="1">
    <w:nsid w:val="41494D7F"/>
    <w:multiLevelType w:val="multilevel"/>
    <w:tmpl w:val="41494D7F"/>
    <w:lvl w:ilvl="0" w:tentative="0">
      <w:start w:val="1"/>
      <w:numFmt w:val="lowerLetter"/>
      <w:lvlText w:val="%1)"/>
      <w:lvlJc w:val="left"/>
      <w:pPr>
        <w:ind w:left="860" w:hanging="440"/>
      </w:pPr>
    </w:lvl>
    <w:lvl w:ilvl="1" w:tentative="0">
      <w:start w:val="1"/>
      <w:numFmt w:val="lowerLetter"/>
      <w:lvlText w:val="%2)"/>
      <w:lvlJc w:val="left"/>
      <w:pPr>
        <w:ind w:left="1300" w:hanging="440"/>
      </w:pPr>
    </w:lvl>
    <w:lvl w:ilvl="2" w:tentative="0">
      <w:start w:val="1"/>
      <w:numFmt w:val="lowerRoman"/>
      <w:lvlText w:val="%3."/>
      <w:lvlJc w:val="right"/>
      <w:pPr>
        <w:ind w:left="1740" w:hanging="440"/>
      </w:pPr>
    </w:lvl>
    <w:lvl w:ilvl="3" w:tentative="0">
      <w:start w:val="1"/>
      <w:numFmt w:val="decimal"/>
      <w:lvlText w:val="%4."/>
      <w:lvlJc w:val="left"/>
      <w:pPr>
        <w:ind w:left="2180" w:hanging="440"/>
      </w:pPr>
    </w:lvl>
    <w:lvl w:ilvl="4" w:tentative="0">
      <w:start w:val="1"/>
      <w:numFmt w:val="lowerLetter"/>
      <w:lvlText w:val="%5)"/>
      <w:lvlJc w:val="left"/>
      <w:pPr>
        <w:ind w:left="2620" w:hanging="440"/>
      </w:pPr>
    </w:lvl>
    <w:lvl w:ilvl="5" w:tentative="0">
      <w:start w:val="1"/>
      <w:numFmt w:val="lowerRoman"/>
      <w:lvlText w:val="%6."/>
      <w:lvlJc w:val="right"/>
      <w:pPr>
        <w:ind w:left="3060" w:hanging="440"/>
      </w:pPr>
    </w:lvl>
    <w:lvl w:ilvl="6" w:tentative="0">
      <w:start w:val="1"/>
      <w:numFmt w:val="decimal"/>
      <w:lvlText w:val="%7."/>
      <w:lvlJc w:val="left"/>
      <w:pPr>
        <w:ind w:left="3500" w:hanging="440"/>
      </w:pPr>
    </w:lvl>
    <w:lvl w:ilvl="7" w:tentative="0">
      <w:start w:val="1"/>
      <w:numFmt w:val="lowerLetter"/>
      <w:lvlText w:val="%8)"/>
      <w:lvlJc w:val="left"/>
      <w:pPr>
        <w:ind w:left="3940" w:hanging="440"/>
      </w:pPr>
    </w:lvl>
    <w:lvl w:ilvl="8" w:tentative="0">
      <w:start w:val="1"/>
      <w:numFmt w:val="lowerRoman"/>
      <w:lvlText w:val="%9."/>
      <w:lvlJc w:val="right"/>
      <w:pPr>
        <w:ind w:left="4380" w:hanging="440"/>
      </w:pPr>
    </w:lvl>
  </w:abstractNum>
  <w:abstractNum w:abstractNumId="2">
    <w:nsid w:val="5603797C"/>
    <w:multiLevelType w:val="multilevel"/>
    <w:tmpl w:val="5603797C"/>
    <w:lvl w:ilvl="0" w:tentative="0">
      <w:start w:val="1"/>
      <w:numFmt w:val="upperLetter"/>
      <w:suff w:val="space"/>
      <w:lvlText w:val="%1"/>
      <w:lvlJc w:val="left"/>
      <w:pPr>
        <w:ind w:left="425" w:hanging="425"/>
      </w:pPr>
      <w:rPr>
        <w:rFonts w:hint="eastAsia"/>
      </w:rPr>
    </w:lvl>
    <w:lvl w:ilvl="1" w:tentative="0">
      <w:start w:val="1"/>
      <w:numFmt w:val="decimal"/>
      <w:pStyle w:val="62"/>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mirrorMargins w:val="1"/>
  <w:documentProtection w:enforcement="0"/>
  <w:defaultTabStop w:val="420"/>
  <w:evenAndOddHeaders w:val="1"/>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UwZjBiNjgxZjRhYmQ0N2JkMGQ3YmZkZjNmZWE5ZWQifQ=="/>
  </w:docVars>
  <w:rsids>
    <w:rsidRoot w:val="00B726FA"/>
    <w:rsid w:val="000008AE"/>
    <w:rsid w:val="00000B77"/>
    <w:rsid w:val="00017FA5"/>
    <w:rsid w:val="00023CBF"/>
    <w:rsid w:val="00026F61"/>
    <w:rsid w:val="00031B1F"/>
    <w:rsid w:val="00036D03"/>
    <w:rsid w:val="00037050"/>
    <w:rsid w:val="00047E8A"/>
    <w:rsid w:val="00053812"/>
    <w:rsid w:val="0005460C"/>
    <w:rsid w:val="000610C3"/>
    <w:rsid w:val="00061F1E"/>
    <w:rsid w:val="000646A5"/>
    <w:rsid w:val="0007018A"/>
    <w:rsid w:val="00071086"/>
    <w:rsid w:val="000836DF"/>
    <w:rsid w:val="000859ED"/>
    <w:rsid w:val="000906FA"/>
    <w:rsid w:val="00091DAD"/>
    <w:rsid w:val="00097670"/>
    <w:rsid w:val="000B0CC7"/>
    <w:rsid w:val="000B6AD2"/>
    <w:rsid w:val="000C7A74"/>
    <w:rsid w:val="000D13FE"/>
    <w:rsid w:val="000D3B4E"/>
    <w:rsid w:val="000D4D28"/>
    <w:rsid w:val="000D6BE0"/>
    <w:rsid w:val="000D7BF0"/>
    <w:rsid w:val="000E19D1"/>
    <w:rsid w:val="000E1A27"/>
    <w:rsid w:val="000E6263"/>
    <w:rsid w:val="000E77B6"/>
    <w:rsid w:val="000F340C"/>
    <w:rsid w:val="0010124A"/>
    <w:rsid w:val="00105868"/>
    <w:rsid w:val="00105977"/>
    <w:rsid w:val="00105F99"/>
    <w:rsid w:val="00106B7F"/>
    <w:rsid w:val="00111C88"/>
    <w:rsid w:val="0012462F"/>
    <w:rsid w:val="001270FF"/>
    <w:rsid w:val="0012721D"/>
    <w:rsid w:val="00127B04"/>
    <w:rsid w:val="00136932"/>
    <w:rsid w:val="00137389"/>
    <w:rsid w:val="001378F8"/>
    <w:rsid w:val="001413B7"/>
    <w:rsid w:val="00141C55"/>
    <w:rsid w:val="0014380A"/>
    <w:rsid w:val="00145C43"/>
    <w:rsid w:val="00146756"/>
    <w:rsid w:val="0015688F"/>
    <w:rsid w:val="00156F18"/>
    <w:rsid w:val="00160E3E"/>
    <w:rsid w:val="001648AC"/>
    <w:rsid w:val="00165178"/>
    <w:rsid w:val="001666DE"/>
    <w:rsid w:val="00171505"/>
    <w:rsid w:val="00171585"/>
    <w:rsid w:val="00181E7E"/>
    <w:rsid w:val="00184A07"/>
    <w:rsid w:val="00184F39"/>
    <w:rsid w:val="001855EA"/>
    <w:rsid w:val="00186714"/>
    <w:rsid w:val="00190AC9"/>
    <w:rsid w:val="00191797"/>
    <w:rsid w:val="00192F64"/>
    <w:rsid w:val="001A1031"/>
    <w:rsid w:val="001A1FCC"/>
    <w:rsid w:val="001B1B6B"/>
    <w:rsid w:val="001C2B28"/>
    <w:rsid w:val="001C2D6A"/>
    <w:rsid w:val="001C375C"/>
    <w:rsid w:val="001C5952"/>
    <w:rsid w:val="001C5EDF"/>
    <w:rsid w:val="001D1F68"/>
    <w:rsid w:val="001D5653"/>
    <w:rsid w:val="001D58B4"/>
    <w:rsid w:val="001D7761"/>
    <w:rsid w:val="001D7C84"/>
    <w:rsid w:val="001E1826"/>
    <w:rsid w:val="001E3C2B"/>
    <w:rsid w:val="001E47A4"/>
    <w:rsid w:val="001F28D7"/>
    <w:rsid w:val="001F2BE4"/>
    <w:rsid w:val="001F43C5"/>
    <w:rsid w:val="001F69BE"/>
    <w:rsid w:val="001F7E86"/>
    <w:rsid w:val="00200669"/>
    <w:rsid w:val="00200AF3"/>
    <w:rsid w:val="00202651"/>
    <w:rsid w:val="0020354D"/>
    <w:rsid w:val="002041C9"/>
    <w:rsid w:val="00207D9E"/>
    <w:rsid w:val="00223C7A"/>
    <w:rsid w:val="0022407F"/>
    <w:rsid w:val="00224C2A"/>
    <w:rsid w:val="00234A78"/>
    <w:rsid w:val="002363E4"/>
    <w:rsid w:val="00236879"/>
    <w:rsid w:val="002434DA"/>
    <w:rsid w:val="00253011"/>
    <w:rsid w:val="002547BB"/>
    <w:rsid w:val="00254905"/>
    <w:rsid w:val="002602A7"/>
    <w:rsid w:val="00262753"/>
    <w:rsid w:val="00262EB4"/>
    <w:rsid w:val="002662EA"/>
    <w:rsid w:val="002679A7"/>
    <w:rsid w:val="0027609B"/>
    <w:rsid w:val="00276F11"/>
    <w:rsid w:val="00280358"/>
    <w:rsid w:val="002824F9"/>
    <w:rsid w:val="002851E4"/>
    <w:rsid w:val="00286BE6"/>
    <w:rsid w:val="002909F9"/>
    <w:rsid w:val="00294568"/>
    <w:rsid w:val="00295DA9"/>
    <w:rsid w:val="002A1DB8"/>
    <w:rsid w:val="002A51FB"/>
    <w:rsid w:val="002A68B6"/>
    <w:rsid w:val="002B2FAB"/>
    <w:rsid w:val="002B2FBC"/>
    <w:rsid w:val="002B3332"/>
    <w:rsid w:val="002B431A"/>
    <w:rsid w:val="002C1FFB"/>
    <w:rsid w:val="002C71DE"/>
    <w:rsid w:val="002C79F6"/>
    <w:rsid w:val="002D1346"/>
    <w:rsid w:val="002D1975"/>
    <w:rsid w:val="002D2DDD"/>
    <w:rsid w:val="002D4A6F"/>
    <w:rsid w:val="002D7C4D"/>
    <w:rsid w:val="002E3C54"/>
    <w:rsid w:val="002E43C9"/>
    <w:rsid w:val="002E4482"/>
    <w:rsid w:val="002E4546"/>
    <w:rsid w:val="002E6134"/>
    <w:rsid w:val="002F223F"/>
    <w:rsid w:val="003078D7"/>
    <w:rsid w:val="003105FC"/>
    <w:rsid w:val="00314CCA"/>
    <w:rsid w:val="00315621"/>
    <w:rsid w:val="00320206"/>
    <w:rsid w:val="00330615"/>
    <w:rsid w:val="00332B46"/>
    <w:rsid w:val="00332C50"/>
    <w:rsid w:val="003374BB"/>
    <w:rsid w:val="003403DD"/>
    <w:rsid w:val="00342EE3"/>
    <w:rsid w:val="003446E1"/>
    <w:rsid w:val="003454CA"/>
    <w:rsid w:val="00346B12"/>
    <w:rsid w:val="00351E9B"/>
    <w:rsid w:val="003565AE"/>
    <w:rsid w:val="00360C0A"/>
    <w:rsid w:val="00361573"/>
    <w:rsid w:val="00367325"/>
    <w:rsid w:val="003716F3"/>
    <w:rsid w:val="003727BC"/>
    <w:rsid w:val="0037357A"/>
    <w:rsid w:val="00373D6D"/>
    <w:rsid w:val="003759A7"/>
    <w:rsid w:val="003774AA"/>
    <w:rsid w:val="003838D3"/>
    <w:rsid w:val="00386CFE"/>
    <w:rsid w:val="00387EE6"/>
    <w:rsid w:val="00390170"/>
    <w:rsid w:val="0039571B"/>
    <w:rsid w:val="003B46C9"/>
    <w:rsid w:val="003B4F78"/>
    <w:rsid w:val="003C299C"/>
    <w:rsid w:val="003C52BA"/>
    <w:rsid w:val="003C6D13"/>
    <w:rsid w:val="003D3142"/>
    <w:rsid w:val="003D350A"/>
    <w:rsid w:val="003D7C87"/>
    <w:rsid w:val="003E33D7"/>
    <w:rsid w:val="003E62BF"/>
    <w:rsid w:val="003F73D9"/>
    <w:rsid w:val="004043D3"/>
    <w:rsid w:val="00405301"/>
    <w:rsid w:val="00405476"/>
    <w:rsid w:val="00415AB8"/>
    <w:rsid w:val="0041604A"/>
    <w:rsid w:val="00416FE1"/>
    <w:rsid w:val="00420F16"/>
    <w:rsid w:val="0042108E"/>
    <w:rsid w:val="0042736B"/>
    <w:rsid w:val="00433110"/>
    <w:rsid w:val="004347D8"/>
    <w:rsid w:val="00434FFE"/>
    <w:rsid w:val="00437E90"/>
    <w:rsid w:val="00440E87"/>
    <w:rsid w:val="00442EE9"/>
    <w:rsid w:val="00447736"/>
    <w:rsid w:val="00447BF5"/>
    <w:rsid w:val="004500C0"/>
    <w:rsid w:val="00452FAB"/>
    <w:rsid w:val="00461442"/>
    <w:rsid w:val="004643D2"/>
    <w:rsid w:val="004708A9"/>
    <w:rsid w:val="00471FD6"/>
    <w:rsid w:val="00473C91"/>
    <w:rsid w:val="004750CD"/>
    <w:rsid w:val="00481490"/>
    <w:rsid w:val="004824ED"/>
    <w:rsid w:val="00494091"/>
    <w:rsid w:val="00495D5A"/>
    <w:rsid w:val="00497C36"/>
    <w:rsid w:val="004A1CDC"/>
    <w:rsid w:val="004A274F"/>
    <w:rsid w:val="004A3341"/>
    <w:rsid w:val="004D1B7A"/>
    <w:rsid w:val="004D3A1D"/>
    <w:rsid w:val="004D6FCC"/>
    <w:rsid w:val="004E4191"/>
    <w:rsid w:val="004E6103"/>
    <w:rsid w:val="004E65B7"/>
    <w:rsid w:val="004F09FC"/>
    <w:rsid w:val="0050053C"/>
    <w:rsid w:val="00500FD8"/>
    <w:rsid w:val="00502B3B"/>
    <w:rsid w:val="005110E3"/>
    <w:rsid w:val="005127A1"/>
    <w:rsid w:val="005128A9"/>
    <w:rsid w:val="005159CE"/>
    <w:rsid w:val="005160D7"/>
    <w:rsid w:val="00523D45"/>
    <w:rsid w:val="005302B4"/>
    <w:rsid w:val="0053188E"/>
    <w:rsid w:val="00537759"/>
    <w:rsid w:val="00546454"/>
    <w:rsid w:val="00546712"/>
    <w:rsid w:val="005469D8"/>
    <w:rsid w:val="0054725C"/>
    <w:rsid w:val="00547A7A"/>
    <w:rsid w:val="00551B6D"/>
    <w:rsid w:val="005536B1"/>
    <w:rsid w:val="00553E80"/>
    <w:rsid w:val="005552A3"/>
    <w:rsid w:val="0059590F"/>
    <w:rsid w:val="0059701D"/>
    <w:rsid w:val="005A1315"/>
    <w:rsid w:val="005A2547"/>
    <w:rsid w:val="005C0D18"/>
    <w:rsid w:val="005C23CE"/>
    <w:rsid w:val="005D00F1"/>
    <w:rsid w:val="005E0E4E"/>
    <w:rsid w:val="005E6117"/>
    <w:rsid w:val="005F574F"/>
    <w:rsid w:val="0060013C"/>
    <w:rsid w:val="00602301"/>
    <w:rsid w:val="00605178"/>
    <w:rsid w:val="00605423"/>
    <w:rsid w:val="006105DA"/>
    <w:rsid w:val="00615ED3"/>
    <w:rsid w:val="00624F8E"/>
    <w:rsid w:val="00625DF9"/>
    <w:rsid w:val="0062621F"/>
    <w:rsid w:val="00627562"/>
    <w:rsid w:val="00627C3B"/>
    <w:rsid w:val="00634AE6"/>
    <w:rsid w:val="00635AED"/>
    <w:rsid w:val="00637691"/>
    <w:rsid w:val="0063776F"/>
    <w:rsid w:val="006444AD"/>
    <w:rsid w:val="0064702B"/>
    <w:rsid w:val="00652E6E"/>
    <w:rsid w:val="00656A70"/>
    <w:rsid w:val="006638CA"/>
    <w:rsid w:val="006677B6"/>
    <w:rsid w:val="00674C9E"/>
    <w:rsid w:val="00675DF6"/>
    <w:rsid w:val="006809EA"/>
    <w:rsid w:val="006847E9"/>
    <w:rsid w:val="00687EB1"/>
    <w:rsid w:val="00690423"/>
    <w:rsid w:val="00692600"/>
    <w:rsid w:val="006A639E"/>
    <w:rsid w:val="006A63E7"/>
    <w:rsid w:val="006C67DC"/>
    <w:rsid w:val="006D77B5"/>
    <w:rsid w:val="006E3B72"/>
    <w:rsid w:val="006F2F65"/>
    <w:rsid w:val="006F2FCB"/>
    <w:rsid w:val="006F348D"/>
    <w:rsid w:val="006F5F2B"/>
    <w:rsid w:val="006F756B"/>
    <w:rsid w:val="00703D0E"/>
    <w:rsid w:val="00704615"/>
    <w:rsid w:val="00705F41"/>
    <w:rsid w:val="00715640"/>
    <w:rsid w:val="00715B65"/>
    <w:rsid w:val="0071615E"/>
    <w:rsid w:val="00717CD8"/>
    <w:rsid w:val="0072128A"/>
    <w:rsid w:val="00722824"/>
    <w:rsid w:val="00724B99"/>
    <w:rsid w:val="00724CA6"/>
    <w:rsid w:val="00734BD3"/>
    <w:rsid w:val="00734D44"/>
    <w:rsid w:val="00737F9B"/>
    <w:rsid w:val="00742BA3"/>
    <w:rsid w:val="00743749"/>
    <w:rsid w:val="007443E5"/>
    <w:rsid w:val="007509D8"/>
    <w:rsid w:val="00757447"/>
    <w:rsid w:val="00784107"/>
    <w:rsid w:val="00787139"/>
    <w:rsid w:val="00791CF9"/>
    <w:rsid w:val="007944FD"/>
    <w:rsid w:val="007A1259"/>
    <w:rsid w:val="007A2652"/>
    <w:rsid w:val="007A4BEE"/>
    <w:rsid w:val="007C48D9"/>
    <w:rsid w:val="007D1A98"/>
    <w:rsid w:val="007D1B28"/>
    <w:rsid w:val="007D4317"/>
    <w:rsid w:val="007E6C19"/>
    <w:rsid w:val="007F1465"/>
    <w:rsid w:val="007F7906"/>
    <w:rsid w:val="0080087D"/>
    <w:rsid w:val="00802788"/>
    <w:rsid w:val="008027E8"/>
    <w:rsid w:val="00802BF3"/>
    <w:rsid w:val="008076EC"/>
    <w:rsid w:val="008078D5"/>
    <w:rsid w:val="008132E2"/>
    <w:rsid w:val="00814412"/>
    <w:rsid w:val="008149D8"/>
    <w:rsid w:val="00815051"/>
    <w:rsid w:val="00815ADD"/>
    <w:rsid w:val="00820455"/>
    <w:rsid w:val="008216F6"/>
    <w:rsid w:val="008231CD"/>
    <w:rsid w:val="008321C2"/>
    <w:rsid w:val="00833D14"/>
    <w:rsid w:val="00835037"/>
    <w:rsid w:val="00836180"/>
    <w:rsid w:val="00836B4F"/>
    <w:rsid w:val="008406C7"/>
    <w:rsid w:val="00843D0D"/>
    <w:rsid w:val="0084722A"/>
    <w:rsid w:val="008474F6"/>
    <w:rsid w:val="0085190A"/>
    <w:rsid w:val="00863E30"/>
    <w:rsid w:val="0086754C"/>
    <w:rsid w:val="00867FDA"/>
    <w:rsid w:val="00871F27"/>
    <w:rsid w:val="0087384B"/>
    <w:rsid w:val="00876DE4"/>
    <w:rsid w:val="0089278D"/>
    <w:rsid w:val="008A3B40"/>
    <w:rsid w:val="008A6128"/>
    <w:rsid w:val="008A6773"/>
    <w:rsid w:val="008B008D"/>
    <w:rsid w:val="008B0BA6"/>
    <w:rsid w:val="008B5A95"/>
    <w:rsid w:val="008C7317"/>
    <w:rsid w:val="008D18FD"/>
    <w:rsid w:val="008D3127"/>
    <w:rsid w:val="008D441E"/>
    <w:rsid w:val="008D4A59"/>
    <w:rsid w:val="008D4EBE"/>
    <w:rsid w:val="008D56CC"/>
    <w:rsid w:val="008E4863"/>
    <w:rsid w:val="008E594C"/>
    <w:rsid w:val="008E67FA"/>
    <w:rsid w:val="008F3059"/>
    <w:rsid w:val="008F47E1"/>
    <w:rsid w:val="008F5786"/>
    <w:rsid w:val="008F7F72"/>
    <w:rsid w:val="009068F3"/>
    <w:rsid w:val="0091005B"/>
    <w:rsid w:val="00911572"/>
    <w:rsid w:val="00913CDD"/>
    <w:rsid w:val="009140E1"/>
    <w:rsid w:val="00914355"/>
    <w:rsid w:val="009148AC"/>
    <w:rsid w:val="00920024"/>
    <w:rsid w:val="00921F64"/>
    <w:rsid w:val="00924D1E"/>
    <w:rsid w:val="00953A10"/>
    <w:rsid w:val="00967B84"/>
    <w:rsid w:val="00972AB0"/>
    <w:rsid w:val="00973537"/>
    <w:rsid w:val="0097580F"/>
    <w:rsid w:val="009810FC"/>
    <w:rsid w:val="00982E08"/>
    <w:rsid w:val="00991053"/>
    <w:rsid w:val="0099161A"/>
    <w:rsid w:val="009917D4"/>
    <w:rsid w:val="00995655"/>
    <w:rsid w:val="00997105"/>
    <w:rsid w:val="009A009F"/>
    <w:rsid w:val="009A0ED8"/>
    <w:rsid w:val="009A2ABB"/>
    <w:rsid w:val="009A3FD8"/>
    <w:rsid w:val="009A41F9"/>
    <w:rsid w:val="009C1012"/>
    <w:rsid w:val="009C43C6"/>
    <w:rsid w:val="009C69DD"/>
    <w:rsid w:val="009C7DE5"/>
    <w:rsid w:val="009D0241"/>
    <w:rsid w:val="009D1F8F"/>
    <w:rsid w:val="009D3782"/>
    <w:rsid w:val="009D7C37"/>
    <w:rsid w:val="009E1703"/>
    <w:rsid w:val="009F036A"/>
    <w:rsid w:val="009F113B"/>
    <w:rsid w:val="009F33FE"/>
    <w:rsid w:val="009F6E9F"/>
    <w:rsid w:val="009F7F6B"/>
    <w:rsid w:val="00A028A2"/>
    <w:rsid w:val="00A02DAE"/>
    <w:rsid w:val="00A0378D"/>
    <w:rsid w:val="00A10576"/>
    <w:rsid w:val="00A11DF0"/>
    <w:rsid w:val="00A17007"/>
    <w:rsid w:val="00A20EC0"/>
    <w:rsid w:val="00A26F80"/>
    <w:rsid w:val="00A34490"/>
    <w:rsid w:val="00A37583"/>
    <w:rsid w:val="00A40FB4"/>
    <w:rsid w:val="00A41A24"/>
    <w:rsid w:val="00A47D13"/>
    <w:rsid w:val="00A57701"/>
    <w:rsid w:val="00A6188B"/>
    <w:rsid w:val="00A6224E"/>
    <w:rsid w:val="00A62BB4"/>
    <w:rsid w:val="00A653B3"/>
    <w:rsid w:val="00A70AFD"/>
    <w:rsid w:val="00A71288"/>
    <w:rsid w:val="00A72012"/>
    <w:rsid w:val="00A7773A"/>
    <w:rsid w:val="00A827E1"/>
    <w:rsid w:val="00A83E9D"/>
    <w:rsid w:val="00A9087C"/>
    <w:rsid w:val="00A92874"/>
    <w:rsid w:val="00AA1823"/>
    <w:rsid w:val="00AA3E6F"/>
    <w:rsid w:val="00AA3F7E"/>
    <w:rsid w:val="00AB068B"/>
    <w:rsid w:val="00AB229E"/>
    <w:rsid w:val="00AB26CA"/>
    <w:rsid w:val="00AC00E1"/>
    <w:rsid w:val="00AC14D7"/>
    <w:rsid w:val="00AC19DA"/>
    <w:rsid w:val="00AC46E2"/>
    <w:rsid w:val="00AD0B4D"/>
    <w:rsid w:val="00AD3C22"/>
    <w:rsid w:val="00AD4156"/>
    <w:rsid w:val="00AE2442"/>
    <w:rsid w:val="00AE3E7A"/>
    <w:rsid w:val="00AE4C68"/>
    <w:rsid w:val="00AE5331"/>
    <w:rsid w:val="00AE6596"/>
    <w:rsid w:val="00AE7B34"/>
    <w:rsid w:val="00AF0765"/>
    <w:rsid w:val="00AF201B"/>
    <w:rsid w:val="00AF442E"/>
    <w:rsid w:val="00AF631D"/>
    <w:rsid w:val="00B0089D"/>
    <w:rsid w:val="00B10EBC"/>
    <w:rsid w:val="00B22693"/>
    <w:rsid w:val="00B23B83"/>
    <w:rsid w:val="00B262EE"/>
    <w:rsid w:val="00B2654F"/>
    <w:rsid w:val="00B272A2"/>
    <w:rsid w:val="00B2745E"/>
    <w:rsid w:val="00B27644"/>
    <w:rsid w:val="00B34FB4"/>
    <w:rsid w:val="00B36B17"/>
    <w:rsid w:val="00B40F52"/>
    <w:rsid w:val="00B419CE"/>
    <w:rsid w:val="00B46702"/>
    <w:rsid w:val="00B46E4E"/>
    <w:rsid w:val="00B54417"/>
    <w:rsid w:val="00B62BA7"/>
    <w:rsid w:val="00B714F7"/>
    <w:rsid w:val="00B71A88"/>
    <w:rsid w:val="00B726FA"/>
    <w:rsid w:val="00B76B59"/>
    <w:rsid w:val="00B85C19"/>
    <w:rsid w:val="00B87374"/>
    <w:rsid w:val="00B971FD"/>
    <w:rsid w:val="00BA1B14"/>
    <w:rsid w:val="00BA2E6E"/>
    <w:rsid w:val="00BA6097"/>
    <w:rsid w:val="00BB5371"/>
    <w:rsid w:val="00BB6ED2"/>
    <w:rsid w:val="00BC1B4B"/>
    <w:rsid w:val="00BC2580"/>
    <w:rsid w:val="00BC4A2A"/>
    <w:rsid w:val="00BC7734"/>
    <w:rsid w:val="00BE2989"/>
    <w:rsid w:val="00BE513C"/>
    <w:rsid w:val="00BF09E1"/>
    <w:rsid w:val="00BF0A07"/>
    <w:rsid w:val="00BF46DC"/>
    <w:rsid w:val="00BF5D24"/>
    <w:rsid w:val="00C02F55"/>
    <w:rsid w:val="00C04409"/>
    <w:rsid w:val="00C06023"/>
    <w:rsid w:val="00C13F57"/>
    <w:rsid w:val="00C17CD8"/>
    <w:rsid w:val="00C24E45"/>
    <w:rsid w:val="00C276C4"/>
    <w:rsid w:val="00C27EC0"/>
    <w:rsid w:val="00C3128B"/>
    <w:rsid w:val="00C31667"/>
    <w:rsid w:val="00C32920"/>
    <w:rsid w:val="00C363E3"/>
    <w:rsid w:val="00C36D01"/>
    <w:rsid w:val="00C401F1"/>
    <w:rsid w:val="00C40D84"/>
    <w:rsid w:val="00C64874"/>
    <w:rsid w:val="00C708A1"/>
    <w:rsid w:val="00C710B1"/>
    <w:rsid w:val="00C765C1"/>
    <w:rsid w:val="00C76C6C"/>
    <w:rsid w:val="00C80946"/>
    <w:rsid w:val="00C86E60"/>
    <w:rsid w:val="00C90F3E"/>
    <w:rsid w:val="00C912D9"/>
    <w:rsid w:val="00C96435"/>
    <w:rsid w:val="00C96B34"/>
    <w:rsid w:val="00C97490"/>
    <w:rsid w:val="00CA0B98"/>
    <w:rsid w:val="00CA19C7"/>
    <w:rsid w:val="00CA1A8C"/>
    <w:rsid w:val="00CB3A1F"/>
    <w:rsid w:val="00CC07EA"/>
    <w:rsid w:val="00CC75E1"/>
    <w:rsid w:val="00CD7C67"/>
    <w:rsid w:val="00CE03D5"/>
    <w:rsid w:val="00CE322D"/>
    <w:rsid w:val="00CF1974"/>
    <w:rsid w:val="00CF5D21"/>
    <w:rsid w:val="00D0340F"/>
    <w:rsid w:val="00D050F0"/>
    <w:rsid w:val="00D05FE5"/>
    <w:rsid w:val="00D11AF3"/>
    <w:rsid w:val="00D12787"/>
    <w:rsid w:val="00D14C0F"/>
    <w:rsid w:val="00D26F18"/>
    <w:rsid w:val="00D30EED"/>
    <w:rsid w:val="00D3269C"/>
    <w:rsid w:val="00D3394A"/>
    <w:rsid w:val="00D360AD"/>
    <w:rsid w:val="00D37324"/>
    <w:rsid w:val="00D37D30"/>
    <w:rsid w:val="00D42D1F"/>
    <w:rsid w:val="00D446D5"/>
    <w:rsid w:val="00D530F3"/>
    <w:rsid w:val="00D54BF9"/>
    <w:rsid w:val="00D54F79"/>
    <w:rsid w:val="00D669CA"/>
    <w:rsid w:val="00D70094"/>
    <w:rsid w:val="00D71B9D"/>
    <w:rsid w:val="00D71C48"/>
    <w:rsid w:val="00D73737"/>
    <w:rsid w:val="00D81BB7"/>
    <w:rsid w:val="00D903B6"/>
    <w:rsid w:val="00D94A36"/>
    <w:rsid w:val="00D955AF"/>
    <w:rsid w:val="00DA3A81"/>
    <w:rsid w:val="00DB5352"/>
    <w:rsid w:val="00DB7595"/>
    <w:rsid w:val="00DC1862"/>
    <w:rsid w:val="00DC323A"/>
    <w:rsid w:val="00DC6555"/>
    <w:rsid w:val="00DD4028"/>
    <w:rsid w:val="00DD4E01"/>
    <w:rsid w:val="00DE176F"/>
    <w:rsid w:val="00DE5351"/>
    <w:rsid w:val="00DF1574"/>
    <w:rsid w:val="00DF279B"/>
    <w:rsid w:val="00DF49E0"/>
    <w:rsid w:val="00DF5D88"/>
    <w:rsid w:val="00DF60A4"/>
    <w:rsid w:val="00E0470A"/>
    <w:rsid w:val="00E0618D"/>
    <w:rsid w:val="00E06F65"/>
    <w:rsid w:val="00E2322C"/>
    <w:rsid w:val="00E24895"/>
    <w:rsid w:val="00E2679D"/>
    <w:rsid w:val="00E37098"/>
    <w:rsid w:val="00E44834"/>
    <w:rsid w:val="00E459CF"/>
    <w:rsid w:val="00E47199"/>
    <w:rsid w:val="00E47530"/>
    <w:rsid w:val="00E507BC"/>
    <w:rsid w:val="00E52B86"/>
    <w:rsid w:val="00E5425F"/>
    <w:rsid w:val="00E54537"/>
    <w:rsid w:val="00E5472E"/>
    <w:rsid w:val="00E54E5A"/>
    <w:rsid w:val="00E55BD9"/>
    <w:rsid w:val="00E621DE"/>
    <w:rsid w:val="00E63465"/>
    <w:rsid w:val="00E64D36"/>
    <w:rsid w:val="00E72805"/>
    <w:rsid w:val="00E81B10"/>
    <w:rsid w:val="00E828DE"/>
    <w:rsid w:val="00E85D5F"/>
    <w:rsid w:val="00E877B0"/>
    <w:rsid w:val="00E9372E"/>
    <w:rsid w:val="00E9651F"/>
    <w:rsid w:val="00EA15DC"/>
    <w:rsid w:val="00EA2FFF"/>
    <w:rsid w:val="00EB12E1"/>
    <w:rsid w:val="00EB1F05"/>
    <w:rsid w:val="00EB3972"/>
    <w:rsid w:val="00EB5181"/>
    <w:rsid w:val="00EB77C0"/>
    <w:rsid w:val="00EB7DFA"/>
    <w:rsid w:val="00ED1B42"/>
    <w:rsid w:val="00ED41DF"/>
    <w:rsid w:val="00F01B58"/>
    <w:rsid w:val="00F02C67"/>
    <w:rsid w:val="00F128E1"/>
    <w:rsid w:val="00F13953"/>
    <w:rsid w:val="00F13A4E"/>
    <w:rsid w:val="00F20E00"/>
    <w:rsid w:val="00F210C5"/>
    <w:rsid w:val="00F272F5"/>
    <w:rsid w:val="00F3547C"/>
    <w:rsid w:val="00F40E68"/>
    <w:rsid w:val="00F42B5F"/>
    <w:rsid w:val="00F45BF9"/>
    <w:rsid w:val="00F577B8"/>
    <w:rsid w:val="00F608F3"/>
    <w:rsid w:val="00F64E6B"/>
    <w:rsid w:val="00F6598F"/>
    <w:rsid w:val="00F81A65"/>
    <w:rsid w:val="00F860CE"/>
    <w:rsid w:val="00F97508"/>
    <w:rsid w:val="00FA40CB"/>
    <w:rsid w:val="00FA6BC4"/>
    <w:rsid w:val="00FB35AB"/>
    <w:rsid w:val="00FB5B68"/>
    <w:rsid w:val="00FC2401"/>
    <w:rsid w:val="00FC2825"/>
    <w:rsid w:val="00FD6115"/>
    <w:rsid w:val="00FE02CE"/>
    <w:rsid w:val="00FE0970"/>
    <w:rsid w:val="00FE7889"/>
    <w:rsid w:val="00FF6A28"/>
    <w:rsid w:val="00FF7FDD"/>
    <w:rsid w:val="01784FAE"/>
    <w:rsid w:val="02411AB9"/>
    <w:rsid w:val="02FD0CF5"/>
    <w:rsid w:val="035840A2"/>
    <w:rsid w:val="036E5ACE"/>
    <w:rsid w:val="04F62134"/>
    <w:rsid w:val="054179EE"/>
    <w:rsid w:val="06F53E3D"/>
    <w:rsid w:val="07F13FAE"/>
    <w:rsid w:val="091B29D8"/>
    <w:rsid w:val="095A7724"/>
    <w:rsid w:val="09DC0C8E"/>
    <w:rsid w:val="0A52073B"/>
    <w:rsid w:val="0AF02C43"/>
    <w:rsid w:val="0B83184E"/>
    <w:rsid w:val="0B8769D7"/>
    <w:rsid w:val="0C1E4A2F"/>
    <w:rsid w:val="0CD36378"/>
    <w:rsid w:val="0D29306A"/>
    <w:rsid w:val="0D3D0F36"/>
    <w:rsid w:val="0D855616"/>
    <w:rsid w:val="0E370B89"/>
    <w:rsid w:val="100D7DF3"/>
    <w:rsid w:val="10841B04"/>
    <w:rsid w:val="10B9577E"/>
    <w:rsid w:val="11FF551A"/>
    <w:rsid w:val="1277798E"/>
    <w:rsid w:val="12E526E7"/>
    <w:rsid w:val="133E6515"/>
    <w:rsid w:val="138E25FB"/>
    <w:rsid w:val="13FF58F2"/>
    <w:rsid w:val="1522400C"/>
    <w:rsid w:val="15552272"/>
    <w:rsid w:val="15670902"/>
    <w:rsid w:val="15977BC9"/>
    <w:rsid w:val="15C962CC"/>
    <w:rsid w:val="16094BB9"/>
    <w:rsid w:val="1636135F"/>
    <w:rsid w:val="16BE59A3"/>
    <w:rsid w:val="179238C2"/>
    <w:rsid w:val="17C26AAB"/>
    <w:rsid w:val="18375EEC"/>
    <w:rsid w:val="18451E9C"/>
    <w:rsid w:val="198B6441"/>
    <w:rsid w:val="199F0DF8"/>
    <w:rsid w:val="19B7311B"/>
    <w:rsid w:val="1B247AC3"/>
    <w:rsid w:val="1B6D668B"/>
    <w:rsid w:val="1BBE3B9F"/>
    <w:rsid w:val="1BBE499E"/>
    <w:rsid w:val="1CD83537"/>
    <w:rsid w:val="1D6923E1"/>
    <w:rsid w:val="1D8A2A83"/>
    <w:rsid w:val="1DE026A3"/>
    <w:rsid w:val="1EF33F6B"/>
    <w:rsid w:val="1F106FB8"/>
    <w:rsid w:val="211103B4"/>
    <w:rsid w:val="219F1468"/>
    <w:rsid w:val="21E604A4"/>
    <w:rsid w:val="225C42C2"/>
    <w:rsid w:val="22727213"/>
    <w:rsid w:val="22891CE6"/>
    <w:rsid w:val="24BE06FA"/>
    <w:rsid w:val="250D02D8"/>
    <w:rsid w:val="260A3257"/>
    <w:rsid w:val="26A3506B"/>
    <w:rsid w:val="271F780C"/>
    <w:rsid w:val="27D668C5"/>
    <w:rsid w:val="28E422ED"/>
    <w:rsid w:val="2A496A6F"/>
    <w:rsid w:val="2B1D6727"/>
    <w:rsid w:val="2D5A11BF"/>
    <w:rsid w:val="2DB9081B"/>
    <w:rsid w:val="2E7964C2"/>
    <w:rsid w:val="2EDF791B"/>
    <w:rsid w:val="2F3B1D8A"/>
    <w:rsid w:val="2F6824F8"/>
    <w:rsid w:val="30030C79"/>
    <w:rsid w:val="30944CB5"/>
    <w:rsid w:val="30B17955"/>
    <w:rsid w:val="32673BB2"/>
    <w:rsid w:val="33FC54A8"/>
    <w:rsid w:val="34C65E82"/>
    <w:rsid w:val="34CD6794"/>
    <w:rsid w:val="351033B6"/>
    <w:rsid w:val="3518510D"/>
    <w:rsid w:val="360743D0"/>
    <w:rsid w:val="373553B6"/>
    <w:rsid w:val="373E19E8"/>
    <w:rsid w:val="3807472F"/>
    <w:rsid w:val="388B5983"/>
    <w:rsid w:val="38A322D3"/>
    <w:rsid w:val="38DB2532"/>
    <w:rsid w:val="399602BB"/>
    <w:rsid w:val="3A0208F7"/>
    <w:rsid w:val="3AD81BE3"/>
    <w:rsid w:val="3B1D39E0"/>
    <w:rsid w:val="3DBF38A8"/>
    <w:rsid w:val="3E073234"/>
    <w:rsid w:val="3F462059"/>
    <w:rsid w:val="3FEF3F72"/>
    <w:rsid w:val="401776B5"/>
    <w:rsid w:val="401A7395"/>
    <w:rsid w:val="418F7450"/>
    <w:rsid w:val="41CA6156"/>
    <w:rsid w:val="425A3F23"/>
    <w:rsid w:val="437656C5"/>
    <w:rsid w:val="444D01E4"/>
    <w:rsid w:val="44A02FD1"/>
    <w:rsid w:val="459A6978"/>
    <w:rsid w:val="45C81AEB"/>
    <w:rsid w:val="465D0F47"/>
    <w:rsid w:val="4662638F"/>
    <w:rsid w:val="481D61BC"/>
    <w:rsid w:val="48DC7083"/>
    <w:rsid w:val="49072EC0"/>
    <w:rsid w:val="49117305"/>
    <w:rsid w:val="495B1EA6"/>
    <w:rsid w:val="4A037842"/>
    <w:rsid w:val="4B1267B9"/>
    <w:rsid w:val="4B7E0B59"/>
    <w:rsid w:val="4B88206C"/>
    <w:rsid w:val="4BA1680A"/>
    <w:rsid w:val="4D2A680C"/>
    <w:rsid w:val="4D752EF5"/>
    <w:rsid w:val="4E700716"/>
    <w:rsid w:val="4EBB1F8E"/>
    <w:rsid w:val="4EDD06BA"/>
    <w:rsid w:val="4EFD6CDC"/>
    <w:rsid w:val="4F161CF3"/>
    <w:rsid w:val="4F4864E4"/>
    <w:rsid w:val="4F94051C"/>
    <w:rsid w:val="50645A48"/>
    <w:rsid w:val="50B463F5"/>
    <w:rsid w:val="5140185C"/>
    <w:rsid w:val="522105B9"/>
    <w:rsid w:val="527B7CBB"/>
    <w:rsid w:val="53824C1F"/>
    <w:rsid w:val="53B45732"/>
    <w:rsid w:val="54F77CF7"/>
    <w:rsid w:val="55DF25A2"/>
    <w:rsid w:val="561B7A15"/>
    <w:rsid w:val="56CB4F97"/>
    <w:rsid w:val="56D3344A"/>
    <w:rsid w:val="56D50EBC"/>
    <w:rsid w:val="56E60023"/>
    <w:rsid w:val="57CD4B04"/>
    <w:rsid w:val="583110A7"/>
    <w:rsid w:val="583A7D04"/>
    <w:rsid w:val="59EC0196"/>
    <w:rsid w:val="5A203FEB"/>
    <w:rsid w:val="5A682D95"/>
    <w:rsid w:val="5B232365"/>
    <w:rsid w:val="5B767BC7"/>
    <w:rsid w:val="5BA26C0E"/>
    <w:rsid w:val="5BB3647D"/>
    <w:rsid w:val="5C405583"/>
    <w:rsid w:val="5CA60C53"/>
    <w:rsid w:val="5CBC5269"/>
    <w:rsid w:val="5D5E182E"/>
    <w:rsid w:val="5DD45079"/>
    <w:rsid w:val="5E557AE0"/>
    <w:rsid w:val="5E8F5931"/>
    <w:rsid w:val="5F19041F"/>
    <w:rsid w:val="5FE82423"/>
    <w:rsid w:val="6031230F"/>
    <w:rsid w:val="606A3F3D"/>
    <w:rsid w:val="607A107A"/>
    <w:rsid w:val="60983693"/>
    <w:rsid w:val="61004E14"/>
    <w:rsid w:val="617A26B6"/>
    <w:rsid w:val="61CE461E"/>
    <w:rsid w:val="61CE6573"/>
    <w:rsid w:val="621E42D6"/>
    <w:rsid w:val="62CA40D4"/>
    <w:rsid w:val="63846BFA"/>
    <w:rsid w:val="63B95BA4"/>
    <w:rsid w:val="63E268F1"/>
    <w:rsid w:val="641C6E32"/>
    <w:rsid w:val="64C23639"/>
    <w:rsid w:val="65775884"/>
    <w:rsid w:val="65E9543A"/>
    <w:rsid w:val="665E2C03"/>
    <w:rsid w:val="66994E12"/>
    <w:rsid w:val="671230A7"/>
    <w:rsid w:val="68BC3A77"/>
    <w:rsid w:val="6A3337AC"/>
    <w:rsid w:val="6C0B50CD"/>
    <w:rsid w:val="6C783074"/>
    <w:rsid w:val="6E3114FE"/>
    <w:rsid w:val="6E46690B"/>
    <w:rsid w:val="6F563B40"/>
    <w:rsid w:val="6FA0300D"/>
    <w:rsid w:val="6FEB5B12"/>
    <w:rsid w:val="703C052B"/>
    <w:rsid w:val="70A3656C"/>
    <w:rsid w:val="70EE797E"/>
    <w:rsid w:val="71330988"/>
    <w:rsid w:val="718E3E69"/>
    <w:rsid w:val="71A943D4"/>
    <w:rsid w:val="71EF2146"/>
    <w:rsid w:val="72205E2D"/>
    <w:rsid w:val="72AC3A77"/>
    <w:rsid w:val="731301DE"/>
    <w:rsid w:val="7372081D"/>
    <w:rsid w:val="73D07860"/>
    <w:rsid w:val="740557D8"/>
    <w:rsid w:val="740828A2"/>
    <w:rsid w:val="7457466E"/>
    <w:rsid w:val="771672C3"/>
    <w:rsid w:val="77214B01"/>
    <w:rsid w:val="77E67A2B"/>
    <w:rsid w:val="790F432D"/>
    <w:rsid w:val="79E36412"/>
    <w:rsid w:val="7C030C87"/>
    <w:rsid w:val="7C52327B"/>
    <w:rsid w:val="7DCE343B"/>
    <w:rsid w:val="7DD76804"/>
    <w:rsid w:val="7DDF45D1"/>
    <w:rsid w:val="7EDB4B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0" w:semiHidden="0" w:name="heading 3"/>
    <w:lsdException w:qFormat="1"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10" w:semiHidden="0" w:name="Title"/>
    <w:lsdException w:uiPriority="99" w:name="Closing"/>
    <w:lsdException w:uiPriority="99" w:name="Signature"/>
    <w:lsdException w:qFormat="1"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11" w:semiHidden="0" w:name="Subtitle"/>
    <w:lsdException w:qFormat="1" w:unhideWhenUsed="0" w:uiPriority="99"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宋体" w:eastAsia="宋体" w:cstheme="minorBidi"/>
      <w:kern w:val="2"/>
      <w:sz w:val="21"/>
      <w:szCs w:val="22"/>
      <w:lang w:val="en-US" w:eastAsia="zh-CN" w:bidi="ar-SA"/>
    </w:rPr>
  </w:style>
  <w:style w:type="paragraph" w:styleId="2">
    <w:name w:val="heading 1"/>
    <w:basedOn w:val="1"/>
    <w:next w:val="1"/>
    <w:link w:val="60"/>
    <w:qFormat/>
    <w:uiPriority w:val="9"/>
    <w:pPr>
      <w:keepNext/>
      <w:keepLines/>
      <w:spacing w:before="340" w:after="330" w:line="578" w:lineRule="auto"/>
      <w:outlineLvl w:val="0"/>
    </w:pPr>
    <w:rPr>
      <w:b/>
      <w:bCs/>
      <w:kern w:val="44"/>
      <w:sz w:val="44"/>
      <w:szCs w:val="44"/>
    </w:rPr>
  </w:style>
  <w:style w:type="paragraph" w:styleId="3">
    <w:name w:val="heading 2"/>
    <w:basedOn w:val="1"/>
    <w:next w:val="1"/>
    <w:unhideWhenUsed/>
    <w:qFormat/>
    <w:uiPriority w:val="0"/>
    <w:pPr>
      <w:keepNext/>
      <w:keepLines/>
      <w:outlineLvl w:val="1"/>
    </w:pPr>
    <w:rPr>
      <w:rFonts w:ascii="Times New Roman" w:hAnsi="Times New Roman" w:eastAsia="黑体"/>
    </w:rPr>
  </w:style>
  <w:style w:type="paragraph" w:styleId="4">
    <w:name w:val="heading 3"/>
    <w:basedOn w:val="1"/>
    <w:next w:val="1"/>
    <w:unhideWhenUsed/>
    <w:qFormat/>
    <w:uiPriority w:val="0"/>
    <w:pPr>
      <w:keepNext/>
      <w:keepLines/>
      <w:spacing w:before="50" w:beforeLines="50" w:after="50" w:afterLines="50"/>
      <w:outlineLvl w:val="2"/>
    </w:pPr>
    <w:rPr>
      <w:rFonts w:ascii="Times New Roman" w:hAnsi="Times New Roman" w:eastAsia="黑体"/>
    </w:rPr>
  </w:style>
  <w:style w:type="paragraph" w:styleId="5">
    <w:name w:val="heading 4"/>
    <w:basedOn w:val="1"/>
    <w:next w:val="1"/>
    <w:unhideWhenUsed/>
    <w:qFormat/>
    <w:uiPriority w:val="0"/>
    <w:pPr>
      <w:keepNext/>
      <w:keepLines/>
      <w:outlineLvl w:val="3"/>
    </w:pPr>
    <w:rPr>
      <w:rFonts w:ascii="Times New Roman" w:hAnsi="Times New Roman" w:eastAsia="黑体"/>
    </w:rPr>
  </w:style>
  <w:style w:type="paragraph" w:styleId="6">
    <w:name w:val="heading 5"/>
    <w:basedOn w:val="1"/>
    <w:next w:val="1"/>
    <w:link w:val="61"/>
    <w:semiHidden/>
    <w:unhideWhenUsed/>
    <w:qFormat/>
    <w:uiPriority w:val="9"/>
    <w:pPr>
      <w:keepNext/>
      <w:keepLines/>
      <w:spacing w:before="280" w:after="290" w:line="376" w:lineRule="auto"/>
      <w:outlineLvl w:val="4"/>
    </w:pPr>
    <w:rPr>
      <w:b/>
      <w:bCs/>
      <w:sz w:val="28"/>
      <w:szCs w:val="28"/>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unhideWhenUsed/>
    <w:qFormat/>
    <w:uiPriority w:val="35"/>
    <w:rPr>
      <w:rFonts w:eastAsia="黑体" w:asciiTheme="majorHAnsi" w:hAnsiTheme="majorHAnsi" w:cstheme="majorBidi"/>
      <w:sz w:val="20"/>
      <w:szCs w:val="20"/>
    </w:rPr>
  </w:style>
  <w:style w:type="paragraph" w:styleId="8">
    <w:name w:val="annotation text"/>
    <w:basedOn w:val="1"/>
    <w:link w:val="49"/>
    <w:semiHidden/>
    <w:unhideWhenUsed/>
    <w:qFormat/>
    <w:uiPriority w:val="99"/>
    <w:pPr>
      <w:jc w:val="left"/>
    </w:pPr>
  </w:style>
  <w:style w:type="paragraph" w:styleId="9">
    <w:name w:val="Salutation"/>
    <w:basedOn w:val="1"/>
    <w:next w:val="1"/>
    <w:qFormat/>
    <w:uiPriority w:val="99"/>
  </w:style>
  <w:style w:type="paragraph" w:styleId="10">
    <w:name w:val="toc 3"/>
    <w:basedOn w:val="1"/>
    <w:next w:val="1"/>
    <w:unhideWhenUsed/>
    <w:qFormat/>
    <w:uiPriority w:val="39"/>
    <w:pPr>
      <w:ind w:left="200" w:leftChars="200"/>
    </w:pPr>
  </w:style>
  <w:style w:type="paragraph" w:styleId="11">
    <w:name w:val="footer"/>
    <w:basedOn w:val="1"/>
    <w:link w:val="28"/>
    <w:unhideWhenUsed/>
    <w:qFormat/>
    <w:uiPriority w:val="99"/>
    <w:pPr>
      <w:widowControl/>
      <w:tabs>
        <w:tab w:val="center" w:pos="4680"/>
        <w:tab w:val="right" w:pos="9360"/>
      </w:tabs>
      <w:jc w:val="left"/>
    </w:pPr>
    <w:rPr>
      <w:rFonts w:cs="Times New Roman"/>
      <w:kern w:val="0"/>
      <w:sz w:val="22"/>
    </w:rPr>
  </w:style>
  <w:style w:type="paragraph" w:styleId="12">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toc 1"/>
    <w:basedOn w:val="1"/>
    <w:next w:val="14"/>
    <w:unhideWhenUsed/>
    <w:qFormat/>
    <w:uiPriority w:val="39"/>
    <w:pPr>
      <w:tabs>
        <w:tab w:val="right" w:leader="dot" w:pos="9344"/>
      </w:tabs>
      <w:spacing w:before="78" w:beforeLines="25" w:after="78" w:afterLines="25"/>
    </w:pPr>
  </w:style>
  <w:style w:type="paragraph" w:styleId="14">
    <w:name w:val="toc 2"/>
    <w:basedOn w:val="1"/>
    <w:next w:val="1"/>
    <w:unhideWhenUsed/>
    <w:qFormat/>
    <w:uiPriority w:val="39"/>
    <w:pPr>
      <w:ind w:left="100" w:leftChars="100"/>
    </w:pPr>
  </w:style>
  <w:style w:type="paragraph" w:styleId="15">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cs="Times New Roman"/>
      <w:kern w:val="0"/>
      <w:sz w:val="24"/>
      <w:szCs w:val="24"/>
    </w:rPr>
  </w:style>
  <w:style w:type="paragraph" w:styleId="16">
    <w:name w:val="Normal (Web)"/>
    <w:basedOn w:val="1"/>
    <w:unhideWhenUsed/>
    <w:qFormat/>
    <w:uiPriority w:val="99"/>
    <w:pPr>
      <w:spacing w:beforeAutospacing="1" w:afterAutospacing="1"/>
      <w:jc w:val="left"/>
    </w:pPr>
    <w:rPr>
      <w:rFonts w:cs="Times New Roman"/>
      <w:kern w:val="0"/>
      <w:sz w:val="24"/>
    </w:rPr>
  </w:style>
  <w:style w:type="paragraph" w:styleId="17">
    <w:name w:val="annotation subject"/>
    <w:basedOn w:val="8"/>
    <w:next w:val="8"/>
    <w:link w:val="50"/>
    <w:semiHidden/>
    <w:unhideWhenUsed/>
    <w:qFormat/>
    <w:uiPriority w:val="99"/>
    <w:rPr>
      <w:b/>
      <w:bCs/>
    </w:rPr>
  </w:style>
  <w:style w:type="table" w:styleId="19">
    <w:name w:val="Table Grid"/>
    <w:basedOn w:val="18"/>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basedOn w:val="20"/>
    <w:qFormat/>
    <w:uiPriority w:val="22"/>
    <w:rPr>
      <w:b/>
    </w:rPr>
  </w:style>
  <w:style w:type="character" w:styleId="22">
    <w:name w:val="Hyperlink"/>
    <w:basedOn w:val="20"/>
    <w:unhideWhenUsed/>
    <w:qFormat/>
    <w:uiPriority w:val="99"/>
    <w:rPr>
      <w:color w:val="0000FF"/>
      <w:u w:val="single"/>
    </w:rPr>
  </w:style>
  <w:style w:type="character" w:styleId="23">
    <w:name w:val="annotation reference"/>
    <w:basedOn w:val="20"/>
    <w:semiHidden/>
    <w:unhideWhenUsed/>
    <w:qFormat/>
    <w:uiPriority w:val="99"/>
    <w:rPr>
      <w:sz w:val="21"/>
      <w:szCs w:val="21"/>
    </w:rPr>
  </w:style>
  <w:style w:type="paragraph" w:customStyle="1" w:styleId="24">
    <w:name w:val="表格内容"/>
    <w:basedOn w:val="25"/>
    <w:next w:val="25"/>
    <w:qFormat/>
    <w:uiPriority w:val="0"/>
    <w:pPr>
      <w:widowControl w:val="0"/>
    </w:pPr>
    <w:rPr>
      <w:rFonts w:cstheme="minorBidi"/>
      <w:snapToGrid w:val="0"/>
      <w:color w:val="000000"/>
      <w:kern w:val="2"/>
      <w:sz w:val="18"/>
      <w:szCs w:val="22"/>
      <w:lang w:eastAsia="en-US"/>
    </w:rPr>
  </w:style>
  <w:style w:type="paragraph" w:customStyle="1" w:styleId="25">
    <w:name w:val="段"/>
    <w:link w:val="29"/>
    <w:qFormat/>
    <w:uiPriority w:val="0"/>
    <w:pPr>
      <w:autoSpaceDE w:val="0"/>
      <w:autoSpaceDN w:val="0"/>
      <w:ind w:firstLine="200" w:firstLineChars="200"/>
      <w:jc w:val="both"/>
    </w:pPr>
    <w:rPr>
      <w:rFonts w:ascii="宋体" w:hAnsi="宋体" w:eastAsia="宋体" w:cs="Times New Roman"/>
      <w:sz w:val="21"/>
      <w:lang w:val="en-US" w:eastAsia="zh-CN" w:bidi="ar-SA"/>
    </w:rPr>
  </w:style>
  <w:style w:type="paragraph" w:customStyle="1" w:styleId="26">
    <w:name w:val="偶数页眉"/>
    <w:qFormat/>
    <w:uiPriority w:val="0"/>
    <w:rPr>
      <w:rFonts w:ascii="黑体" w:hAnsi="黑体" w:eastAsia="黑体" w:cs="Times New Roman"/>
      <w:sz w:val="21"/>
      <w:szCs w:val="21"/>
      <w:lang w:val="en-US" w:eastAsia="zh-CN" w:bidi="ar-SA"/>
    </w:rPr>
  </w:style>
  <w:style w:type="paragraph" w:customStyle="1" w:styleId="27">
    <w:name w:val="术语条目"/>
    <w:qFormat/>
    <w:uiPriority w:val="0"/>
    <w:rPr>
      <w:rFonts w:ascii="黑体" w:hAnsi="黑体" w:eastAsia="黑体" w:cs="Times New Roman"/>
      <w:sz w:val="21"/>
      <w:szCs w:val="21"/>
      <w:lang w:val="en-US" w:eastAsia="zh-CN" w:bidi="ar-SA"/>
    </w:rPr>
  </w:style>
  <w:style w:type="character" w:customStyle="1" w:styleId="28">
    <w:name w:val="页脚 字符"/>
    <w:basedOn w:val="20"/>
    <w:link w:val="11"/>
    <w:qFormat/>
    <w:uiPriority w:val="99"/>
    <w:rPr>
      <w:rFonts w:asciiTheme="minorHAnsi" w:hAnsiTheme="minorHAnsi" w:eastAsiaTheme="minorEastAsia"/>
      <w:sz w:val="22"/>
      <w:szCs w:val="22"/>
    </w:rPr>
  </w:style>
  <w:style w:type="character" w:customStyle="1" w:styleId="29">
    <w:name w:val="段 Char"/>
    <w:link w:val="25"/>
    <w:qFormat/>
    <w:uiPriority w:val="0"/>
    <w:rPr>
      <w:rFonts w:ascii="宋体" w:hAnsi="宋体"/>
      <w:sz w:val="21"/>
    </w:rPr>
  </w:style>
  <w:style w:type="paragraph" w:customStyle="1" w:styleId="30">
    <w:name w:val="发布部门"/>
    <w:next w:val="25"/>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31">
    <w:name w:val="封面标准英文名称"/>
    <w:basedOn w:val="1"/>
    <w:qFormat/>
    <w:uiPriority w:val="0"/>
    <w:pPr>
      <w:framePr w:w="9639" w:h="6917" w:hRule="exact" w:wrap="around" w:vAnchor="page" w:hAnchor="page" w:x="849" w:y="5749" w:anchorLock="1"/>
      <w:spacing w:before="370" w:line="400" w:lineRule="exact"/>
      <w:jc w:val="center"/>
      <w:textAlignment w:val="center"/>
    </w:pPr>
    <w:rPr>
      <w:rFonts w:ascii="黑体" w:hAnsi="黑体" w:eastAsia="黑体" w:cs="Times New Roman"/>
      <w:kern w:val="0"/>
      <w:sz w:val="28"/>
      <w:szCs w:val="28"/>
    </w:rPr>
  </w:style>
  <w:style w:type="paragraph" w:customStyle="1" w:styleId="32">
    <w:name w:val="其他发布日期"/>
    <w:basedOn w:val="1"/>
    <w:qFormat/>
    <w:uiPriority w:val="0"/>
    <w:pPr>
      <w:framePr w:w="3997" w:h="471" w:hRule="exact" w:vSpace="181" w:wrap="around" w:vAnchor="page" w:hAnchor="page" w:x="1419" w:y="14097" w:anchorLock="1"/>
      <w:widowControl/>
      <w:jc w:val="left"/>
    </w:pPr>
    <w:rPr>
      <w:rFonts w:ascii="Times New Roman" w:hAnsi="Times New Roman" w:eastAsia="黑体" w:cs="Times New Roman"/>
      <w:kern w:val="0"/>
      <w:sz w:val="28"/>
      <w:szCs w:val="20"/>
    </w:rPr>
  </w:style>
  <w:style w:type="paragraph" w:customStyle="1" w:styleId="33">
    <w:name w:val="其他实施日期"/>
    <w:basedOn w:val="1"/>
    <w:qFormat/>
    <w:uiPriority w:val="0"/>
    <w:pPr>
      <w:framePr w:w="3997" w:h="471" w:hRule="exact" w:vSpace="181" w:wrap="around" w:vAnchor="page" w:hAnchor="page" w:x="7089" w:y="14097" w:anchorLock="1"/>
      <w:widowControl/>
      <w:jc w:val="right"/>
    </w:pPr>
    <w:rPr>
      <w:rFonts w:ascii="Times New Roman" w:hAnsi="Times New Roman" w:eastAsia="黑体" w:cs="Times New Roman"/>
      <w:kern w:val="0"/>
      <w:sz w:val="28"/>
      <w:szCs w:val="20"/>
    </w:rPr>
  </w:style>
  <w:style w:type="paragraph" w:customStyle="1" w:styleId="34">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35">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36">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37">
    <w:name w:val="前言、引言标题"/>
    <w:next w:val="25"/>
    <w:qFormat/>
    <w:uiPriority w:val="0"/>
    <w:pPr>
      <w:keepNext/>
      <w:pageBreakBefore/>
      <w:shd w:val="clear" w:color="FFFFFF" w:fill="FFFFFF"/>
      <w:spacing w:before="567" w:after="680"/>
      <w:jc w:val="center"/>
      <w:outlineLvl w:val="0"/>
    </w:pPr>
    <w:rPr>
      <w:rFonts w:ascii="黑体" w:hAnsi="Times New Roman" w:eastAsia="黑体" w:cs="Times New Roman"/>
      <w:sz w:val="32"/>
      <w:lang w:val="en-US" w:eastAsia="zh-CN" w:bidi="ar-SA"/>
    </w:rPr>
  </w:style>
  <w:style w:type="paragraph" w:customStyle="1" w:styleId="38">
    <w:name w:val="一级条标题"/>
    <w:basedOn w:val="39"/>
    <w:next w:val="25"/>
    <w:qFormat/>
    <w:uiPriority w:val="0"/>
    <w:pPr>
      <w:keepNext/>
      <w:spacing w:before="156" w:beforeLines="50" w:after="156" w:afterLines="50"/>
      <w:jc w:val="left"/>
      <w:outlineLvl w:val="1"/>
    </w:pPr>
    <w:rPr>
      <w:szCs w:val="21"/>
    </w:rPr>
  </w:style>
  <w:style w:type="paragraph" w:customStyle="1" w:styleId="39">
    <w:name w:val="章标题"/>
    <w:next w:val="25"/>
    <w:qFormat/>
    <w:uiPriority w:val="0"/>
    <w:pPr>
      <w:spacing w:before="312" w:beforeLines="100" w:after="312" w:afterLines="100"/>
      <w:jc w:val="both"/>
      <w:outlineLvl w:val="0"/>
    </w:pPr>
    <w:rPr>
      <w:rFonts w:ascii="黑体" w:hAnsi="黑体" w:eastAsia="黑体" w:cs="Times New Roman"/>
      <w:sz w:val="21"/>
      <w:lang w:val="en-US" w:eastAsia="zh-CN" w:bidi="ar-SA"/>
    </w:rPr>
  </w:style>
  <w:style w:type="paragraph" w:customStyle="1" w:styleId="40">
    <w:name w:val="二级条标题"/>
    <w:basedOn w:val="38"/>
    <w:next w:val="25"/>
    <w:qFormat/>
    <w:uiPriority w:val="0"/>
    <w:pPr>
      <w:outlineLvl w:val="2"/>
    </w:pPr>
  </w:style>
  <w:style w:type="paragraph" w:customStyle="1" w:styleId="41">
    <w:name w:val="目次、标准名称标题"/>
    <w:basedOn w:val="1"/>
    <w:next w:val="25"/>
    <w:qFormat/>
    <w:uiPriority w:val="0"/>
    <w:pPr>
      <w:keepNext/>
      <w:pageBreakBefore/>
      <w:widowControl/>
      <w:shd w:val="clear" w:color="FFFFFF" w:fill="FFFFFF"/>
      <w:spacing w:before="567" w:after="680" w:line="460" w:lineRule="exact"/>
      <w:jc w:val="center"/>
    </w:pPr>
    <w:rPr>
      <w:rFonts w:ascii="黑体" w:hAnsi="黑体" w:eastAsia="黑体" w:cs="Times New Roman"/>
      <w:kern w:val="0"/>
      <w:sz w:val="32"/>
      <w:szCs w:val="20"/>
    </w:rPr>
  </w:style>
  <w:style w:type="paragraph" w:customStyle="1" w:styleId="42">
    <w:name w:val="三级条标题"/>
    <w:basedOn w:val="40"/>
    <w:next w:val="25"/>
    <w:qFormat/>
    <w:uiPriority w:val="0"/>
    <w:pPr>
      <w:outlineLvl w:val="4"/>
    </w:pPr>
  </w:style>
  <w:style w:type="paragraph" w:customStyle="1" w:styleId="43">
    <w:name w:val="四级条标题"/>
    <w:basedOn w:val="42"/>
    <w:next w:val="25"/>
    <w:qFormat/>
    <w:uiPriority w:val="0"/>
    <w:pPr>
      <w:outlineLvl w:val="5"/>
    </w:pPr>
  </w:style>
  <w:style w:type="paragraph" w:customStyle="1" w:styleId="44">
    <w:name w:val="五级条标题"/>
    <w:basedOn w:val="43"/>
    <w:next w:val="25"/>
    <w:qFormat/>
    <w:uiPriority w:val="0"/>
    <w:pPr>
      <w:outlineLvl w:val="6"/>
    </w:pPr>
  </w:style>
  <w:style w:type="paragraph" w:customStyle="1" w:styleId="45">
    <w:name w:val="正文表标题"/>
    <w:next w:val="25"/>
    <w:qFormat/>
    <w:uiPriority w:val="0"/>
    <w:pPr>
      <w:spacing w:before="156" w:beforeLines="50" w:after="156" w:afterLines="50"/>
      <w:jc w:val="center"/>
    </w:pPr>
    <w:rPr>
      <w:rFonts w:ascii="黑体" w:hAnsi="黑体" w:eastAsia="黑体" w:cs="Times New Roman"/>
      <w:sz w:val="21"/>
      <w:lang w:val="en-US" w:eastAsia="zh-CN" w:bidi="ar-SA"/>
    </w:rPr>
  </w:style>
  <w:style w:type="paragraph" w:customStyle="1" w:styleId="46">
    <w:name w:val="奇数页眉"/>
    <w:next w:val="1"/>
    <w:qFormat/>
    <w:uiPriority w:val="0"/>
    <w:pPr>
      <w:jc w:val="right"/>
    </w:pPr>
    <w:rPr>
      <w:rFonts w:ascii="黑体" w:hAnsi="黑体" w:eastAsia="黑体" w:cs="Times New Roman"/>
      <w:sz w:val="21"/>
      <w:szCs w:val="21"/>
      <w:lang w:val="en-US" w:eastAsia="zh-CN" w:bidi="ar-SA"/>
    </w:rPr>
  </w:style>
  <w:style w:type="paragraph" w:customStyle="1" w:styleId="47">
    <w:name w:val="二级无"/>
    <w:basedOn w:val="40"/>
    <w:qFormat/>
    <w:uiPriority w:val="0"/>
    <w:rPr>
      <w:rFonts w:ascii="宋体" w:eastAsia="宋体"/>
    </w:rPr>
  </w:style>
  <w:style w:type="paragraph" w:customStyle="1" w:styleId="48">
    <w:name w:val="修订1"/>
    <w:hidden/>
    <w:unhideWhenUsed/>
    <w:qFormat/>
    <w:uiPriority w:val="99"/>
    <w:rPr>
      <w:rFonts w:asciiTheme="minorHAnsi" w:hAnsiTheme="minorHAnsi" w:eastAsiaTheme="minorEastAsia" w:cstheme="minorBidi"/>
      <w:kern w:val="2"/>
      <w:sz w:val="21"/>
      <w:szCs w:val="22"/>
      <w:lang w:val="en-US" w:eastAsia="zh-CN" w:bidi="ar-SA"/>
    </w:rPr>
  </w:style>
  <w:style w:type="character" w:customStyle="1" w:styleId="49">
    <w:name w:val="批注文字 字符"/>
    <w:basedOn w:val="20"/>
    <w:link w:val="8"/>
    <w:semiHidden/>
    <w:qFormat/>
    <w:uiPriority w:val="99"/>
    <w:rPr>
      <w:rFonts w:asciiTheme="minorHAnsi" w:hAnsiTheme="minorHAnsi" w:eastAsiaTheme="minorEastAsia" w:cstheme="minorBidi"/>
      <w:kern w:val="2"/>
      <w:sz w:val="21"/>
      <w:szCs w:val="22"/>
    </w:rPr>
  </w:style>
  <w:style w:type="character" w:customStyle="1" w:styleId="50">
    <w:name w:val="批注主题 字符"/>
    <w:basedOn w:val="49"/>
    <w:link w:val="17"/>
    <w:semiHidden/>
    <w:qFormat/>
    <w:uiPriority w:val="99"/>
    <w:rPr>
      <w:rFonts w:asciiTheme="minorHAnsi" w:hAnsiTheme="minorHAnsi" w:eastAsiaTheme="minorEastAsia" w:cstheme="minorBidi"/>
      <w:b/>
      <w:bCs/>
      <w:kern w:val="2"/>
      <w:sz w:val="21"/>
      <w:szCs w:val="22"/>
    </w:rPr>
  </w:style>
  <w:style w:type="paragraph" w:customStyle="1" w:styleId="51">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2">
    <w:name w:val="修订2"/>
    <w:hidden/>
    <w:unhideWhenUsed/>
    <w:qFormat/>
    <w:uiPriority w:val="99"/>
    <w:rPr>
      <w:rFonts w:asciiTheme="minorHAnsi" w:hAnsiTheme="minorHAnsi" w:eastAsiaTheme="minorEastAsia" w:cstheme="minorBidi"/>
      <w:kern w:val="2"/>
      <w:sz w:val="21"/>
      <w:szCs w:val="22"/>
      <w:lang w:val="en-US" w:eastAsia="zh-CN" w:bidi="ar-SA"/>
    </w:rPr>
  </w:style>
  <w:style w:type="paragraph" w:styleId="53">
    <w:name w:val="List Paragraph"/>
    <w:basedOn w:val="1"/>
    <w:unhideWhenUsed/>
    <w:qFormat/>
    <w:uiPriority w:val="99"/>
    <w:pPr>
      <w:ind w:firstLine="420" w:firstLineChars="200"/>
    </w:pPr>
  </w:style>
  <w:style w:type="paragraph" w:customStyle="1" w:styleId="54">
    <w:name w:val="附录标题"/>
    <w:basedOn w:val="37"/>
    <w:next w:val="1"/>
    <w:qFormat/>
    <w:uiPriority w:val="0"/>
    <w:pPr>
      <w:spacing w:after="0"/>
    </w:pPr>
  </w:style>
  <w:style w:type="table" w:customStyle="1" w:styleId="55">
    <w:name w:val="Table Normal"/>
    <w:semiHidden/>
    <w:unhideWhenUsed/>
    <w:qFormat/>
    <w:uiPriority w:val="0"/>
    <w:pPr>
      <w:spacing w:after="160" w:line="278" w:lineRule="auto"/>
    </w:pPr>
    <w:rPr>
      <w:rFonts w:ascii="Arial" w:hAnsi="Arial" w:cs="Arial" w:eastAsiaTheme="minorEastAsia"/>
      <w:snapToGrid w:val="0"/>
      <w:color w:val="000000"/>
      <w:sz w:val="21"/>
      <w:szCs w:val="21"/>
      <w:lang w:eastAsia="en-US"/>
    </w:rPr>
    <w:tblPr>
      <w:tblCellMar>
        <w:top w:w="0" w:type="dxa"/>
        <w:left w:w="0" w:type="dxa"/>
        <w:bottom w:w="0" w:type="dxa"/>
        <w:right w:w="0" w:type="dxa"/>
      </w:tblCellMar>
    </w:tblPr>
  </w:style>
  <w:style w:type="paragraph" w:customStyle="1" w:styleId="56">
    <w:name w:val="Table Text"/>
    <w:basedOn w:val="1"/>
    <w:semiHidden/>
    <w:qFormat/>
    <w:uiPriority w:val="0"/>
    <w:pPr>
      <w:widowControl/>
      <w:kinsoku w:val="0"/>
      <w:autoSpaceDE w:val="0"/>
      <w:autoSpaceDN w:val="0"/>
      <w:adjustRightInd w:val="0"/>
      <w:snapToGrid w:val="0"/>
      <w:spacing w:after="160"/>
      <w:jc w:val="left"/>
      <w:textAlignment w:val="baseline"/>
    </w:pPr>
    <w:rPr>
      <w:rFonts w:ascii="微软雅黑" w:hAnsi="微软雅黑" w:eastAsia="微软雅黑" w:cs="微软雅黑"/>
      <w:snapToGrid w:val="0"/>
      <w:color w:val="000000"/>
      <w:kern w:val="0"/>
      <w:sz w:val="16"/>
      <w:szCs w:val="16"/>
      <w:lang w:eastAsia="en-US"/>
    </w:rPr>
  </w:style>
  <w:style w:type="character" w:customStyle="1" w:styleId="57">
    <w:name w:val="未处理的提及1"/>
    <w:basedOn w:val="20"/>
    <w:semiHidden/>
    <w:unhideWhenUsed/>
    <w:qFormat/>
    <w:uiPriority w:val="99"/>
    <w:rPr>
      <w:color w:val="605E5C"/>
      <w:shd w:val="clear" w:color="auto" w:fill="E1DFDD"/>
    </w:rPr>
  </w:style>
  <w:style w:type="paragraph" w:customStyle="1" w:styleId="58">
    <w:name w:val="奇数页码"/>
    <w:qFormat/>
    <w:uiPriority w:val="0"/>
    <w:pPr>
      <w:ind w:right="227"/>
      <w:jc w:val="right"/>
    </w:pPr>
    <w:rPr>
      <w:rFonts w:ascii="宋体" w:hAnsi="宋体" w:eastAsia="宋体" w:cstheme="minorBidi"/>
      <w:kern w:val="2"/>
      <w:sz w:val="18"/>
      <w:szCs w:val="18"/>
      <w:lang w:val="en-US" w:eastAsia="zh-CN" w:bidi="ar-SA"/>
    </w:rPr>
  </w:style>
  <w:style w:type="paragraph" w:customStyle="1" w:styleId="59">
    <w:name w:val="偶数页码"/>
    <w:qFormat/>
    <w:uiPriority w:val="0"/>
    <w:pPr>
      <w:ind w:left="227"/>
    </w:pPr>
    <w:rPr>
      <w:rFonts w:ascii="宋体" w:hAnsi="宋体" w:eastAsia="宋体" w:cstheme="minorBidi"/>
      <w:kern w:val="2"/>
      <w:sz w:val="18"/>
      <w:szCs w:val="18"/>
      <w:lang w:val="en-US" w:eastAsia="zh-CN" w:bidi="ar-SA"/>
    </w:rPr>
  </w:style>
  <w:style w:type="character" w:customStyle="1" w:styleId="60">
    <w:name w:val="标题 1 字符"/>
    <w:basedOn w:val="20"/>
    <w:link w:val="2"/>
    <w:qFormat/>
    <w:uiPriority w:val="9"/>
    <w:rPr>
      <w:rFonts w:asciiTheme="minorHAnsi" w:hAnsiTheme="minorHAnsi" w:eastAsiaTheme="minorEastAsia" w:cstheme="minorBidi"/>
      <w:b/>
      <w:bCs/>
      <w:kern w:val="44"/>
      <w:sz w:val="44"/>
      <w:szCs w:val="44"/>
    </w:rPr>
  </w:style>
  <w:style w:type="character" w:customStyle="1" w:styleId="61">
    <w:name w:val="标题 5 字符"/>
    <w:basedOn w:val="20"/>
    <w:link w:val="6"/>
    <w:semiHidden/>
    <w:qFormat/>
    <w:uiPriority w:val="9"/>
    <w:rPr>
      <w:rFonts w:ascii="宋体" w:hAnsi="宋体" w:cstheme="minorBidi"/>
      <w:b/>
      <w:bCs/>
      <w:kern w:val="2"/>
      <w:sz w:val="28"/>
      <w:szCs w:val="28"/>
    </w:rPr>
  </w:style>
  <w:style w:type="paragraph" w:customStyle="1" w:styleId="62">
    <w:name w:val="标准文件_附录表标题"/>
    <w:next w:val="51"/>
    <w:qFormat/>
    <w:uiPriority w:val="0"/>
    <w:pPr>
      <w:numPr>
        <w:ilvl w:val="1"/>
        <w:numId w:val="1"/>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63">
    <w:name w:val="标准文件_表格"/>
    <w:basedOn w:val="51"/>
    <w:qFormat/>
    <w:uiPriority w:val="0"/>
    <w:pPr>
      <w:ind w:firstLine="0" w:firstLineChars="0"/>
      <w:jc w:val="center"/>
    </w:pPr>
    <w:rPr>
      <w:sz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0" Type="http://schemas.openxmlformats.org/officeDocument/2006/relationships/fontTable" Target="fontTable.xml"/><Relationship Id="rId3" Type="http://schemas.openxmlformats.org/officeDocument/2006/relationships/header" Target="header1.xml"/><Relationship Id="rId29" Type="http://schemas.openxmlformats.org/officeDocument/2006/relationships/customXml" Target="../customXml/item2.xml"/><Relationship Id="rId28" Type="http://schemas.openxmlformats.org/officeDocument/2006/relationships/numbering" Target="numbering.xml"/><Relationship Id="rId27" Type="http://schemas.openxmlformats.org/officeDocument/2006/relationships/customXml" Target="../customXml/item1.xml"/><Relationship Id="rId26" Type="http://schemas.openxmlformats.org/officeDocument/2006/relationships/image" Target="media/image2.png"/><Relationship Id="rId25" Type="http://schemas.openxmlformats.org/officeDocument/2006/relationships/image" Target="media/image1.png"/><Relationship Id="rId24" Type="http://schemas.openxmlformats.org/officeDocument/2006/relationships/theme" Target="theme/theme1.xml"/><Relationship Id="rId23" Type="http://schemas.openxmlformats.org/officeDocument/2006/relationships/footer" Target="footer10.xml"/><Relationship Id="rId22" Type="http://schemas.openxmlformats.org/officeDocument/2006/relationships/header" Target="header11.xml"/><Relationship Id="rId21" Type="http://schemas.openxmlformats.org/officeDocument/2006/relationships/footer" Target="footer9.xml"/><Relationship Id="rId20" Type="http://schemas.openxmlformats.org/officeDocument/2006/relationships/header" Target="header10.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footer" Target="footer8.xml"/><Relationship Id="rId17" Type="http://schemas.openxmlformats.org/officeDocument/2006/relationships/footer" Target="footer7.xml"/><Relationship Id="rId16" Type="http://schemas.openxmlformats.org/officeDocument/2006/relationships/footer" Target="footer6.xml"/><Relationship Id="rId15" Type="http://schemas.openxmlformats.org/officeDocument/2006/relationships/header" Target="header8.xml"/><Relationship Id="rId14" Type="http://schemas.openxmlformats.org/officeDocument/2006/relationships/header" Target="header7.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2EDED9-062C-471A-9BAE-4735BEA46285}">
  <ds:schemaRefs/>
</ds:datastoreItem>
</file>

<file path=docProps/app.xml><?xml version="1.0" encoding="utf-8"?>
<Properties xmlns="http://schemas.openxmlformats.org/officeDocument/2006/extended-properties" xmlns:vt="http://schemas.openxmlformats.org/officeDocument/2006/docPropsVTypes">
  <Template>Normal</Template>
  <Pages>15</Pages>
  <Words>3130</Words>
  <Characters>3758</Characters>
  <Lines>250</Lines>
  <Paragraphs>299</Paragraphs>
  <TotalTime>0</TotalTime>
  <ScaleCrop>false</ScaleCrop>
  <LinksUpToDate>false</LinksUpToDate>
  <CharactersWithSpaces>6589</CharactersWithSpaces>
  <Application>WPS Office_12.8.2.18676_F1E327BC-269C-435d-A152-05C5408002CA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2025-05-21T01:43:00Z</dcterms:created>
  <dc:creator>蔡 先生</dc:creator>
  <cp:lastModifiedBy>刘典云</cp:lastModifiedBy>
  <cp:lastPrinted>2025-03-07T02:19:00Z</cp:lastPrinted>
  <dcterms:modified xsi:type="dcterms:W3CDTF">2025-12-12T05:20:38Z</dcterms:modified>
  <cp:revision>462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2052-12.8.2.18676</vt:lpwstr>
  </property>
  <property fmtid="{D5CDD505-2E9C-101B-9397-08002B2CF9AE}" pid="3" name="ICV">
    <vt:lpwstr>53909268ECD9406D8F09AEE2314559D0</vt:lpwstr>
  </property>
  <property fmtid="{D5CDD505-2E9C-101B-9397-08002B2CF9AE}" pid="4" name="KSOTemplateDocerSaveRecord">
    <vt:lpwstr>eyJoZGlkIjoiOGUwZjBiNjgxZjRhYmQ0N2JkMGQ3YmZkZjNmZWE5ZWQiLCJ1c2VySWQiOiIyOTc3OTkzOTgifQ==</vt:lpwstr>
  </property>
</Properties>
</file>