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CF4A0">
      <w:pPr>
        <w:pStyle w:val="36"/>
        <w:framePr w:wrap="around" w:x="1393" w:y="5749"/>
      </w:pPr>
      <w:r>
        <w:rPr>
          <w:rFonts w:hint="eastAsia"/>
        </w:rPr>
        <w:t>发动机进排气海拔模拟测试条件方法</w:t>
      </w:r>
    </w:p>
    <w:p w14:paraId="52B17B43">
      <w:pPr>
        <w:pStyle w:val="31"/>
        <w:framePr w:wrap="around" w:x="1393"/>
        <w:rPr>
          <w:rFonts w:hint="eastAsia"/>
        </w:rPr>
      </w:pPr>
      <w:bookmarkStart w:id="0" w:name="_Hlk103243066"/>
      <w:r>
        <w:rPr>
          <w:rFonts w:hint="eastAsia"/>
        </w:rPr>
        <w:t>Engine intake and exhaust altitude simulation test condition method</w:t>
      </w:r>
    </w:p>
    <w:p w14:paraId="7DD28AB5">
      <w:pPr>
        <w:pStyle w:val="32"/>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XX发布</w:t>
      </w:r>
      <w:r>
        <w:rPr>
          <w:rFonts w:ascii="黑体" w:hAnsi="黑体"/>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14:paraId="11204C00">
      <w:pPr>
        <w:pStyle w:val="33"/>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XX实施</w:t>
      </w:r>
    </w:p>
    <w:p w14:paraId="1F10546C">
      <w:pPr>
        <w:pStyle w:val="30"/>
        <w:framePr w:wrap="around"/>
        <w:rPr>
          <w:rFonts w:hint="eastAsia" w:ascii="黑体" w:hAnsi="黑体" w:eastAsia="黑体"/>
          <w:b w:val="0"/>
        </w:rPr>
      </w:pPr>
      <w:r>
        <w:rPr>
          <w:rFonts w:hint="eastAsia" w:ascii="黑体" w:hAnsi="黑体" w:eastAsia="黑体"/>
          <w:b w:val="0"/>
          <w:spacing w:val="0"/>
          <w:szCs w:val="28"/>
        </w:rPr>
        <w:t>中国内燃机学会</w:t>
      </w:r>
      <w:r>
        <w:rPr>
          <w:rFonts w:hint="eastAsia" w:ascii="黑体" w:hAnsi="黑体" w:eastAsia="黑体"/>
          <w:b w:val="0"/>
          <w:spacing w:val="0"/>
          <w:sz w:val="44"/>
          <w:szCs w:val="44"/>
        </w:rPr>
        <w:t xml:space="preserve">  </w:t>
      </w:r>
      <w:r>
        <w:rPr>
          <w:rFonts w:hint="eastAsia" w:ascii="黑体" w:hAnsi="黑体" w:eastAsia="黑体"/>
          <w:b w:val="0"/>
          <w:spacing w:val="0"/>
          <w:szCs w:val="28"/>
        </w:rPr>
        <w:t>发布</w:t>
      </w:r>
    </w:p>
    <w:bookmarkEnd w:id="0"/>
    <w:p w14:paraId="50838475">
      <w:pPr>
        <w:pStyle w:val="25"/>
        <w:ind w:firstLine="0" w:firstLineChars="0"/>
        <w:rPr>
          <w:rFonts w:hint="eastAsia" w:ascii="黑体" w:hAnsi="黑体" w:eastAsia="黑体"/>
        </w:rPr>
      </w:pPr>
      <w:r>
        <w:rPr>
          <w:rFonts w:ascii="黑体" w:hAnsi="黑体" w:eastAsia="黑体"/>
        </w:rPr>
        <w:t xml:space="preserve">ICS 27.020 </w:t>
      </w:r>
    </w:p>
    <w:p w14:paraId="607D5272">
      <w:pPr>
        <w:pStyle w:val="35"/>
        <w:framePr w:h="1411" w:hRule="exact" w:wrap="around"/>
        <w:rPr>
          <w:rFonts w:hint="eastAsia" w:ascii="黑体" w:hAnsi="黑体" w:eastAsia="黑体"/>
          <w:b w:val="0"/>
          <w:spacing w:val="0"/>
          <w:w w:val="100"/>
          <w:sz w:val="84"/>
          <w:szCs w:val="84"/>
        </w:rPr>
      </w:pPr>
      <w:r>
        <w:rPr>
          <w:rFonts w:hint="eastAsia" w:ascii="黑体" w:hAnsi="黑体" w:eastAsia="黑体"/>
          <w:b w:val="0"/>
          <w:spacing w:val="0"/>
          <w:w w:val="100"/>
          <w:sz w:val="84"/>
          <w:szCs w:val="84"/>
        </w:rPr>
        <w:t>团体标准</w:t>
      </w:r>
    </w:p>
    <w:p w14:paraId="42D0C65E">
      <w:pPr>
        <w:pStyle w:val="34"/>
        <w:framePr w:wrap="around" w:y="3481"/>
        <w:wordWrap w:val="0"/>
        <w:rPr>
          <w:rFonts w:hint="eastAsia" w:hAnsi="黑体"/>
        </w:rPr>
      </w:pPr>
      <w:r>
        <w:rPr>
          <w:rFonts w:hint="eastAsia" w:hAnsi="黑体"/>
        </w:rPr>
        <w:t>T</w:t>
      </w:r>
      <w:r>
        <w:rPr>
          <w:rFonts w:hAnsi="黑体"/>
        </w:rPr>
        <w:t xml:space="preserve">/CSICE </w:t>
      </w:r>
      <w:r>
        <w:rPr>
          <w:rFonts w:hint="eastAsia" w:hAnsi="黑体"/>
        </w:rPr>
        <w:t>XXXX-</w:t>
      </w:r>
      <w:r>
        <w:rPr>
          <w:rFonts w:hAnsi="黑体"/>
        </w:rPr>
        <w:t>20</w:t>
      </w:r>
      <w:r>
        <w:rPr>
          <w:rFonts w:hint="eastAsia" w:hAnsi="黑体"/>
        </w:rPr>
        <w:t>XX</w:t>
      </w:r>
    </w:p>
    <w:p w14:paraId="5E56CDA7">
      <w:pPr>
        <w:pStyle w:val="34"/>
        <w:framePr w:wrap="around" w:y="3481"/>
      </w:pPr>
    </w:p>
    <w:p w14:paraId="431C60C6">
      <w:pPr>
        <w:pStyle w:val="34"/>
        <w:framePr w:wrap="around" w:y="3481"/>
      </w:pPr>
    </w:p>
    <w:p w14:paraId="32B9755B">
      <w:pPr>
        <w:pStyle w:val="25"/>
        <w:ind w:firstLine="0" w:firstLineChars="0"/>
        <w:rPr>
          <w:rFonts w:hint="eastAsia" w:ascii="黑体" w:hAnsi="黑体" w:eastAsia="黑体"/>
        </w:rPr>
      </w:pPr>
      <w:r>
        <w:rPr>
          <w:rFonts w:ascii="黑体" w:hAnsi="黑体" w:eastAsia="黑体"/>
        </w:rPr>
        <w:t>CCS J 92</w: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14:paraId="79DED0E2">
      <w:pPr>
        <w:pStyle w:val="25"/>
        <w:ind w:firstLine="420"/>
        <w:rPr>
          <w:rFonts w:hint="eastAsia"/>
        </w:rPr>
        <w:sectPr>
          <w:headerReference r:id="rId4" w:type="first"/>
          <w:headerReference r:id="rId3" w:type="even"/>
          <w:footerReference r:id="rId5" w:type="even"/>
          <w:pgSz w:w="11906" w:h="16838"/>
          <w:pgMar w:top="567" w:right="1134" w:bottom="1134" w:left="1418" w:header="567" w:footer="1134" w:gutter="0"/>
          <w:cols w:space="425" w:num="1"/>
          <w:titlePg/>
          <w:docGrid w:type="lines" w:linePitch="312" w:charSpace="0"/>
        </w:sectPr>
      </w:pPr>
      <w: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t xml:space="preserve"> </w:t>
      </w:r>
    </w:p>
    <w:p w14:paraId="46C41B61">
      <w:pPr>
        <w:pStyle w:val="37"/>
      </w:pPr>
      <w:bookmarkStart w:id="1" w:name="_Toc198645075"/>
      <w:bookmarkStart w:id="2" w:name="_Toc198646020"/>
      <w:bookmarkStart w:id="3" w:name="_Toc198644988"/>
    </w:p>
    <w:p w14:paraId="162D64B2">
      <w:pPr>
        <w:pStyle w:val="25"/>
        <w:ind w:firstLine="420"/>
        <w:rPr>
          <w:rFonts w:hint="eastAsia"/>
        </w:rPr>
        <w:sectPr>
          <w:headerReference r:id="rId7" w:type="first"/>
          <w:footerReference r:id="rId9" w:type="first"/>
          <w:headerReference r:id="rId6" w:type="default"/>
          <w:footerReference r:id="rId8" w:type="default"/>
          <w:pgSz w:w="11906" w:h="16838"/>
          <w:pgMar w:top="1418" w:right="1134" w:bottom="1134" w:left="1418" w:header="1418" w:footer="1134" w:gutter="0"/>
          <w:pgNumType w:fmt="upperRoman" w:start="1"/>
          <w:cols w:space="425" w:num="1"/>
          <w:titlePg/>
          <w:docGrid w:type="lines" w:linePitch="312" w:charSpace="0"/>
        </w:sectPr>
      </w:pPr>
    </w:p>
    <w:p w14:paraId="69B8EECE">
      <w:pPr>
        <w:pStyle w:val="41"/>
        <w:rPr>
          <w:rFonts w:hint="eastAsia"/>
        </w:rPr>
      </w:pPr>
      <w:r>
        <w:rPr>
          <w:rFonts w:hint="eastAsia"/>
        </w:rPr>
        <w:t>目　　次</w:t>
      </w:r>
      <w:bookmarkEnd w:id="1"/>
      <w:bookmarkEnd w:id="2"/>
      <w:bookmarkEnd w:id="3"/>
    </w:p>
    <w:p w14:paraId="40D8DF2F">
      <w:pPr>
        <w:pStyle w:val="13"/>
        <w:tabs>
          <w:tab w:val="right" w:leader="dot" w:pos="9354"/>
          <w:tab w:val="clear" w:pos="9344"/>
        </w:tabs>
      </w:pPr>
      <w:r>
        <w:fldChar w:fldCharType="begin"/>
      </w:r>
      <w:r>
        <w:instrText xml:space="preserve"> TOC \o "1-3" \h \z \u </w:instrText>
      </w:r>
      <w:r>
        <w:fldChar w:fldCharType="separate"/>
      </w:r>
      <w:r>
        <w:fldChar w:fldCharType="begin"/>
      </w:r>
      <w:r>
        <w:instrText xml:space="preserve"> HYPERLINK \l _Toc17373 </w:instrText>
      </w:r>
      <w:r>
        <w:fldChar w:fldCharType="separate"/>
      </w:r>
      <w:r>
        <w:rPr>
          <w:rFonts w:hint="eastAsia"/>
        </w:rPr>
        <w:t>前</w:t>
      </w:r>
      <w:r>
        <w:rPr>
          <w:rFonts w:hAnsi="黑体"/>
        </w:rPr>
        <w:t>  </w:t>
      </w:r>
      <w:r>
        <w:rPr>
          <w:rFonts w:hint="eastAsia"/>
        </w:rPr>
        <w:t>言</w:t>
      </w:r>
      <w:r>
        <w:tab/>
      </w:r>
      <w:r>
        <w:fldChar w:fldCharType="begin"/>
      </w:r>
      <w:r>
        <w:instrText xml:space="preserve"> PAGEREF _Toc17373 \h </w:instrText>
      </w:r>
      <w:r>
        <w:fldChar w:fldCharType="separate"/>
      </w:r>
      <w:r>
        <w:t>II</w:t>
      </w:r>
      <w:r>
        <w:fldChar w:fldCharType="end"/>
      </w:r>
      <w:r>
        <w:fldChar w:fldCharType="end"/>
      </w:r>
    </w:p>
    <w:p w14:paraId="478D2276">
      <w:pPr>
        <w:pStyle w:val="13"/>
        <w:tabs>
          <w:tab w:val="right" w:leader="dot" w:pos="9354"/>
          <w:tab w:val="clear" w:pos="9344"/>
        </w:tabs>
      </w:pPr>
      <w:r>
        <w:fldChar w:fldCharType="begin"/>
      </w:r>
      <w:r>
        <w:instrText xml:space="preserve"> HYPERLINK \l _Toc9319 </w:instrText>
      </w:r>
      <w:r>
        <w:fldChar w:fldCharType="separate"/>
      </w:r>
      <w:r>
        <w:rPr>
          <w:rFonts w:hint="eastAsia"/>
        </w:rPr>
        <w:t>1　范围</w:t>
      </w:r>
      <w:r>
        <w:tab/>
      </w:r>
      <w:r>
        <w:fldChar w:fldCharType="begin"/>
      </w:r>
      <w:r>
        <w:instrText xml:space="preserve"> PAGEREF _Toc9319 \h </w:instrText>
      </w:r>
      <w:r>
        <w:fldChar w:fldCharType="separate"/>
      </w:r>
      <w:r>
        <w:t>1</w:t>
      </w:r>
      <w:r>
        <w:fldChar w:fldCharType="end"/>
      </w:r>
      <w:r>
        <w:fldChar w:fldCharType="end"/>
      </w:r>
    </w:p>
    <w:p w14:paraId="26866D86">
      <w:pPr>
        <w:pStyle w:val="13"/>
        <w:tabs>
          <w:tab w:val="right" w:leader="dot" w:pos="9354"/>
          <w:tab w:val="clear" w:pos="9344"/>
        </w:tabs>
      </w:pPr>
      <w:r>
        <w:fldChar w:fldCharType="begin"/>
      </w:r>
      <w:r>
        <w:instrText xml:space="preserve"> HYPERLINK \l _Toc7514 </w:instrText>
      </w:r>
      <w:r>
        <w:fldChar w:fldCharType="separate"/>
      </w:r>
      <w:r>
        <w:rPr>
          <w:rFonts w:hint="eastAsia"/>
        </w:rPr>
        <w:t>2　规范性引用文件</w:t>
      </w:r>
      <w:r>
        <w:tab/>
      </w:r>
      <w:r>
        <w:fldChar w:fldCharType="begin"/>
      </w:r>
      <w:r>
        <w:instrText xml:space="preserve"> PAGEREF _Toc7514 \h </w:instrText>
      </w:r>
      <w:r>
        <w:fldChar w:fldCharType="separate"/>
      </w:r>
      <w:r>
        <w:t>1</w:t>
      </w:r>
      <w:r>
        <w:fldChar w:fldCharType="end"/>
      </w:r>
      <w:r>
        <w:fldChar w:fldCharType="end"/>
      </w:r>
    </w:p>
    <w:p w14:paraId="169582C6">
      <w:pPr>
        <w:pStyle w:val="13"/>
        <w:tabs>
          <w:tab w:val="right" w:leader="dot" w:pos="9354"/>
          <w:tab w:val="clear" w:pos="9344"/>
        </w:tabs>
      </w:pPr>
      <w:r>
        <w:fldChar w:fldCharType="begin"/>
      </w:r>
      <w:r>
        <w:instrText xml:space="preserve"> HYPERLINK \l _Toc24316 </w:instrText>
      </w:r>
      <w:r>
        <w:fldChar w:fldCharType="separate"/>
      </w:r>
      <w:r>
        <w:rPr>
          <w:rFonts w:hint="eastAsia"/>
        </w:rPr>
        <w:t>3　术语和定义</w:t>
      </w:r>
      <w:r>
        <w:tab/>
      </w:r>
      <w:r>
        <w:fldChar w:fldCharType="begin"/>
      </w:r>
      <w:r>
        <w:instrText xml:space="preserve"> PAGEREF _Toc24316 \h </w:instrText>
      </w:r>
      <w:r>
        <w:fldChar w:fldCharType="separate"/>
      </w:r>
      <w:r>
        <w:t>1</w:t>
      </w:r>
      <w:r>
        <w:fldChar w:fldCharType="end"/>
      </w:r>
      <w:r>
        <w:fldChar w:fldCharType="end"/>
      </w:r>
    </w:p>
    <w:p w14:paraId="04BBAD51">
      <w:pPr>
        <w:pStyle w:val="13"/>
        <w:tabs>
          <w:tab w:val="right" w:leader="dot" w:pos="9354"/>
          <w:tab w:val="clear" w:pos="9344"/>
        </w:tabs>
      </w:pPr>
      <w:r>
        <w:fldChar w:fldCharType="begin"/>
      </w:r>
      <w:r>
        <w:instrText xml:space="preserve"> HYPERLINK \l _Toc28348 </w:instrText>
      </w:r>
      <w:r>
        <w:fldChar w:fldCharType="separate"/>
      </w:r>
      <w:r>
        <w:rPr>
          <w:rFonts w:hint="eastAsia"/>
        </w:rPr>
        <w:t>4　技术要求</w:t>
      </w:r>
      <w:r>
        <w:tab/>
      </w:r>
      <w:r>
        <w:fldChar w:fldCharType="begin"/>
      </w:r>
      <w:r>
        <w:instrText xml:space="preserve"> PAGEREF _Toc28348 \h </w:instrText>
      </w:r>
      <w:r>
        <w:fldChar w:fldCharType="separate"/>
      </w:r>
      <w:r>
        <w:t>2</w:t>
      </w:r>
      <w:r>
        <w:fldChar w:fldCharType="end"/>
      </w:r>
      <w:r>
        <w:fldChar w:fldCharType="end"/>
      </w:r>
    </w:p>
    <w:p w14:paraId="67EFD84D">
      <w:pPr>
        <w:pStyle w:val="14"/>
        <w:tabs>
          <w:tab w:val="right" w:leader="dot" w:pos="9354"/>
        </w:tabs>
      </w:pPr>
      <w:r>
        <w:fldChar w:fldCharType="begin"/>
      </w:r>
      <w:r>
        <w:instrText xml:space="preserve"> HYPERLINK \l _Toc26682 </w:instrText>
      </w:r>
      <w:r>
        <w:fldChar w:fldCharType="separate"/>
      </w:r>
      <w:r>
        <w:rPr>
          <w:rFonts w:hint="eastAsia"/>
        </w:rPr>
        <w:t>4.1　环境条件</w:t>
      </w:r>
      <w:r>
        <w:tab/>
      </w:r>
      <w:r>
        <w:fldChar w:fldCharType="begin"/>
      </w:r>
      <w:r>
        <w:instrText xml:space="preserve"> PAGEREF _Toc26682 \h </w:instrText>
      </w:r>
      <w:r>
        <w:fldChar w:fldCharType="separate"/>
      </w:r>
      <w:r>
        <w:t>2</w:t>
      </w:r>
      <w:r>
        <w:fldChar w:fldCharType="end"/>
      </w:r>
      <w:r>
        <w:fldChar w:fldCharType="end"/>
      </w:r>
    </w:p>
    <w:p w14:paraId="14DE731C">
      <w:pPr>
        <w:pStyle w:val="14"/>
        <w:tabs>
          <w:tab w:val="right" w:leader="dot" w:pos="9354"/>
        </w:tabs>
      </w:pPr>
      <w:r>
        <w:fldChar w:fldCharType="begin"/>
      </w:r>
      <w:r>
        <w:instrText xml:space="preserve"> HYPERLINK \l _Toc28940 </w:instrText>
      </w:r>
      <w:r>
        <w:fldChar w:fldCharType="separate"/>
      </w:r>
      <w:r>
        <w:rPr>
          <w:rFonts w:hint="eastAsia"/>
        </w:rPr>
        <w:t>4.2　压力调节性能要求</w:t>
      </w:r>
      <w:r>
        <w:tab/>
      </w:r>
      <w:r>
        <w:fldChar w:fldCharType="begin"/>
      </w:r>
      <w:r>
        <w:instrText xml:space="preserve"> PAGEREF _Toc28940 \h </w:instrText>
      </w:r>
      <w:r>
        <w:fldChar w:fldCharType="separate"/>
      </w:r>
      <w:r>
        <w:t>2</w:t>
      </w:r>
      <w:r>
        <w:fldChar w:fldCharType="end"/>
      </w:r>
      <w:r>
        <w:fldChar w:fldCharType="end"/>
      </w:r>
    </w:p>
    <w:p w14:paraId="7DFE6ACD">
      <w:pPr>
        <w:pStyle w:val="14"/>
        <w:tabs>
          <w:tab w:val="right" w:leader="dot" w:pos="9354"/>
        </w:tabs>
      </w:pPr>
      <w:r>
        <w:fldChar w:fldCharType="begin"/>
      </w:r>
      <w:r>
        <w:instrText xml:space="preserve"> HYPERLINK \l _Toc16609 </w:instrText>
      </w:r>
      <w:r>
        <w:fldChar w:fldCharType="separate"/>
      </w:r>
      <w:r>
        <w:t>4.</w:t>
      </w:r>
      <w:r>
        <w:rPr>
          <w:rFonts w:hint="eastAsia"/>
        </w:rPr>
        <w:t>3　温度调节性能要求</w:t>
      </w:r>
      <w:r>
        <w:tab/>
      </w:r>
      <w:r>
        <w:fldChar w:fldCharType="begin"/>
      </w:r>
      <w:r>
        <w:instrText xml:space="preserve"> PAGEREF _Toc16609 \h </w:instrText>
      </w:r>
      <w:r>
        <w:fldChar w:fldCharType="separate"/>
      </w:r>
      <w:r>
        <w:t>2</w:t>
      </w:r>
      <w:r>
        <w:fldChar w:fldCharType="end"/>
      </w:r>
      <w:r>
        <w:fldChar w:fldCharType="end"/>
      </w:r>
    </w:p>
    <w:p w14:paraId="252CBE8A">
      <w:pPr>
        <w:pStyle w:val="14"/>
        <w:tabs>
          <w:tab w:val="right" w:leader="dot" w:pos="9354"/>
        </w:tabs>
      </w:pPr>
      <w:r>
        <w:fldChar w:fldCharType="begin"/>
      </w:r>
      <w:r>
        <w:instrText xml:space="preserve"> HYPERLINK \l _Toc29684 </w:instrText>
      </w:r>
      <w:r>
        <w:fldChar w:fldCharType="separate"/>
      </w:r>
      <w:r>
        <w:t>4.</w:t>
      </w:r>
      <w:r>
        <w:rPr>
          <w:rFonts w:hint="eastAsia"/>
        </w:rPr>
        <w:t>4　湿度调节性能要求</w:t>
      </w:r>
      <w:r>
        <w:tab/>
      </w:r>
      <w:r>
        <w:fldChar w:fldCharType="begin"/>
      </w:r>
      <w:r>
        <w:instrText xml:space="preserve"> PAGEREF _Toc29684 \h </w:instrText>
      </w:r>
      <w:r>
        <w:fldChar w:fldCharType="separate"/>
      </w:r>
      <w:r>
        <w:t>2</w:t>
      </w:r>
      <w:r>
        <w:fldChar w:fldCharType="end"/>
      </w:r>
      <w:r>
        <w:fldChar w:fldCharType="end"/>
      </w:r>
    </w:p>
    <w:p w14:paraId="585BFF5B">
      <w:pPr>
        <w:pStyle w:val="13"/>
        <w:tabs>
          <w:tab w:val="right" w:leader="dot" w:pos="9354"/>
          <w:tab w:val="clear" w:pos="9344"/>
        </w:tabs>
      </w:pPr>
      <w:r>
        <w:fldChar w:fldCharType="begin"/>
      </w:r>
      <w:r>
        <w:instrText xml:space="preserve"> HYPERLINK \l _Toc3761 </w:instrText>
      </w:r>
      <w:r>
        <w:fldChar w:fldCharType="separate"/>
      </w:r>
      <w:r>
        <w:rPr>
          <w:rFonts w:hint="eastAsia"/>
        </w:rPr>
        <w:t>5 系统调整方法</w:t>
      </w:r>
      <w:r>
        <w:tab/>
      </w:r>
      <w:r>
        <w:fldChar w:fldCharType="begin"/>
      </w:r>
      <w:r>
        <w:instrText xml:space="preserve"> PAGEREF _Toc3761 \h </w:instrText>
      </w:r>
      <w:r>
        <w:fldChar w:fldCharType="separate"/>
      </w:r>
      <w:r>
        <w:t>2</w:t>
      </w:r>
      <w:r>
        <w:fldChar w:fldCharType="end"/>
      </w:r>
      <w:r>
        <w:fldChar w:fldCharType="end"/>
      </w:r>
    </w:p>
    <w:p w14:paraId="3F3CE06B">
      <w:pPr>
        <w:pStyle w:val="14"/>
        <w:tabs>
          <w:tab w:val="right" w:leader="dot" w:pos="9354"/>
        </w:tabs>
      </w:pPr>
      <w:r>
        <w:fldChar w:fldCharType="begin"/>
      </w:r>
      <w:r>
        <w:instrText xml:space="preserve"> HYPERLINK \l _Toc3975 </w:instrText>
      </w:r>
      <w:r>
        <w:fldChar w:fldCharType="separate"/>
      </w:r>
      <w:r>
        <w:rPr>
          <w:rFonts w:hint="eastAsia"/>
        </w:rPr>
        <w:t>5.1　增压器适应性调整要求</w:t>
      </w:r>
      <w:r>
        <w:tab/>
      </w:r>
      <w:r>
        <w:fldChar w:fldCharType="begin"/>
      </w:r>
      <w:r>
        <w:instrText xml:space="preserve"> PAGEREF _Toc3975 \h </w:instrText>
      </w:r>
      <w:r>
        <w:fldChar w:fldCharType="separate"/>
      </w:r>
      <w:r>
        <w:t>2</w:t>
      </w:r>
      <w:r>
        <w:fldChar w:fldCharType="end"/>
      </w:r>
      <w:r>
        <w:fldChar w:fldCharType="end"/>
      </w:r>
    </w:p>
    <w:p w14:paraId="4EF36C1B">
      <w:pPr>
        <w:pStyle w:val="10"/>
        <w:tabs>
          <w:tab w:val="right" w:leader="dot" w:pos="9354"/>
        </w:tabs>
      </w:pPr>
      <w:r>
        <w:fldChar w:fldCharType="begin"/>
      </w:r>
      <w:r>
        <w:instrText xml:space="preserve"> HYPERLINK \l _Toc4880 </w:instrText>
      </w:r>
      <w:r>
        <w:fldChar w:fldCharType="separate"/>
      </w:r>
      <w:r>
        <w:rPr>
          <w:rFonts w:hint="eastAsia"/>
        </w:rPr>
        <w:t>5.1.1　涡轮增压器拉杆螺母调节</w:t>
      </w:r>
      <w:r>
        <w:tab/>
      </w:r>
      <w:r>
        <w:fldChar w:fldCharType="begin"/>
      </w:r>
      <w:r>
        <w:instrText xml:space="preserve"> PAGEREF _Toc4880 \h </w:instrText>
      </w:r>
      <w:r>
        <w:fldChar w:fldCharType="separate"/>
      </w:r>
      <w:r>
        <w:t>2</w:t>
      </w:r>
      <w:r>
        <w:fldChar w:fldCharType="end"/>
      </w:r>
      <w:r>
        <w:fldChar w:fldCharType="end"/>
      </w:r>
    </w:p>
    <w:p w14:paraId="1F82B3E1">
      <w:pPr>
        <w:pStyle w:val="10"/>
        <w:tabs>
          <w:tab w:val="right" w:leader="dot" w:pos="9354"/>
        </w:tabs>
      </w:pPr>
      <w:r>
        <w:fldChar w:fldCharType="begin"/>
      </w:r>
      <w:r>
        <w:instrText xml:space="preserve"> HYPERLINK \l _Toc19143 </w:instrText>
      </w:r>
      <w:r>
        <w:fldChar w:fldCharType="separate"/>
      </w:r>
      <w:r>
        <w:rPr>
          <w:rFonts w:hint="eastAsia"/>
        </w:rPr>
        <w:t>5.1.2　涡轮增压器废气旁通装置调整方法</w:t>
      </w:r>
      <w:r>
        <w:tab/>
      </w:r>
      <w:r>
        <w:fldChar w:fldCharType="begin"/>
      </w:r>
      <w:r>
        <w:instrText xml:space="preserve"> PAGEREF _Toc19143 \h </w:instrText>
      </w:r>
      <w:r>
        <w:fldChar w:fldCharType="separate"/>
      </w:r>
      <w:r>
        <w:t>2</w:t>
      </w:r>
      <w:r>
        <w:fldChar w:fldCharType="end"/>
      </w:r>
      <w:r>
        <w:fldChar w:fldCharType="end"/>
      </w:r>
    </w:p>
    <w:p w14:paraId="15D41151">
      <w:pPr>
        <w:pStyle w:val="10"/>
        <w:tabs>
          <w:tab w:val="right" w:leader="dot" w:pos="9354"/>
        </w:tabs>
      </w:pPr>
      <w:r>
        <w:fldChar w:fldCharType="begin"/>
      </w:r>
      <w:r>
        <w:instrText xml:space="preserve"> HYPERLINK \l _Toc8031 </w:instrText>
      </w:r>
      <w:r>
        <w:fldChar w:fldCharType="separate"/>
      </w:r>
      <w:r>
        <w:rPr>
          <w:rFonts w:hint="eastAsia"/>
        </w:rPr>
        <w:t>5.1.3　其他调整方式</w:t>
      </w:r>
      <w:r>
        <w:tab/>
      </w:r>
      <w:r>
        <w:fldChar w:fldCharType="begin"/>
      </w:r>
      <w:r>
        <w:instrText xml:space="preserve"> PAGEREF _Toc8031 \h </w:instrText>
      </w:r>
      <w:r>
        <w:fldChar w:fldCharType="separate"/>
      </w:r>
      <w:r>
        <w:t>3</w:t>
      </w:r>
      <w:r>
        <w:fldChar w:fldCharType="end"/>
      </w:r>
      <w:r>
        <w:fldChar w:fldCharType="end"/>
      </w:r>
    </w:p>
    <w:p w14:paraId="2E5FADC0">
      <w:pPr>
        <w:pStyle w:val="14"/>
        <w:tabs>
          <w:tab w:val="right" w:leader="dot" w:pos="9354"/>
        </w:tabs>
      </w:pPr>
      <w:r>
        <w:fldChar w:fldCharType="begin"/>
      </w:r>
      <w:r>
        <w:instrText xml:space="preserve"> HYPERLINK \l _Toc9806 </w:instrText>
      </w:r>
      <w:r>
        <w:fldChar w:fldCharType="separate"/>
      </w:r>
      <w:r>
        <w:rPr>
          <w:rFonts w:hint="eastAsia"/>
        </w:rPr>
        <w:t>5.2  曲轴箱压力适应性调整要求</w:t>
      </w:r>
      <w:r>
        <w:tab/>
      </w:r>
      <w:r>
        <w:fldChar w:fldCharType="begin"/>
      </w:r>
      <w:r>
        <w:instrText xml:space="preserve"> PAGEREF _Toc9806 \h </w:instrText>
      </w:r>
      <w:r>
        <w:fldChar w:fldCharType="separate"/>
      </w:r>
      <w:r>
        <w:t>3</w:t>
      </w:r>
      <w:r>
        <w:fldChar w:fldCharType="end"/>
      </w:r>
      <w:r>
        <w:fldChar w:fldCharType="end"/>
      </w:r>
    </w:p>
    <w:p w14:paraId="7207D415">
      <w:pPr>
        <w:pStyle w:val="14"/>
        <w:tabs>
          <w:tab w:val="right" w:leader="dot" w:pos="9354"/>
        </w:tabs>
      </w:pPr>
      <w:r>
        <w:fldChar w:fldCharType="begin"/>
      </w:r>
      <w:r>
        <w:instrText xml:space="preserve"> HYPERLINK \l _Toc23432 </w:instrText>
      </w:r>
      <w:r>
        <w:fldChar w:fldCharType="separate"/>
      </w:r>
      <w:r>
        <w:rPr>
          <w:rFonts w:hint="eastAsia"/>
        </w:rPr>
        <w:t>5.3  发动机进排气管路适应性调整要求</w:t>
      </w:r>
      <w:r>
        <w:tab/>
      </w:r>
      <w:r>
        <w:fldChar w:fldCharType="begin"/>
      </w:r>
      <w:r>
        <w:instrText xml:space="preserve"> PAGEREF _Toc23432 \h </w:instrText>
      </w:r>
      <w:r>
        <w:fldChar w:fldCharType="separate"/>
      </w:r>
      <w:r>
        <w:t>3</w:t>
      </w:r>
      <w:r>
        <w:fldChar w:fldCharType="end"/>
      </w:r>
      <w:r>
        <w:fldChar w:fldCharType="end"/>
      </w:r>
    </w:p>
    <w:p w14:paraId="31236FEF">
      <w:pPr>
        <w:pStyle w:val="14"/>
        <w:tabs>
          <w:tab w:val="right" w:leader="dot" w:pos="9354"/>
        </w:tabs>
      </w:pPr>
      <w:r>
        <w:fldChar w:fldCharType="begin"/>
      </w:r>
      <w:r>
        <w:instrText xml:space="preserve"> HYPERLINK \l _Toc5430 </w:instrText>
      </w:r>
      <w:r>
        <w:fldChar w:fldCharType="separate"/>
      </w:r>
      <w:r>
        <w:rPr>
          <w:rFonts w:hint="eastAsia"/>
        </w:rPr>
        <w:t>5.4  试验设备适应性调整要求</w:t>
      </w:r>
      <w:r>
        <w:tab/>
      </w:r>
      <w:r>
        <w:fldChar w:fldCharType="begin"/>
      </w:r>
      <w:r>
        <w:instrText xml:space="preserve"> PAGEREF _Toc5430 \h </w:instrText>
      </w:r>
      <w:r>
        <w:fldChar w:fldCharType="separate"/>
      </w:r>
      <w:r>
        <w:t>3</w:t>
      </w:r>
      <w:r>
        <w:fldChar w:fldCharType="end"/>
      </w:r>
      <w:r>
        <w:fldChar w:fldCharType="end"/>
      </w:r>
    </w:p>
    <w:p w14:paraId="22637174">
      <w:pPr>
        <w:pStyle w:val="14"/>
        <w:tabs>
          <w:tab w:val="right" w:leader="dot" w:pos="9354"/>
        </w:tabs>
      </w:pPr>
      <w:r>
        <w:fldChar w:fldCharType="begin"/>
      </w:r>
      <w:r>
        <w:instrText xml:space="preserve"> HYPERLINK \l _Toc30155 </w:instrText>
      </w:r>
      <w:r>
        <w:fldChar w:fldCharType="separate"/>
      </w:r>
      <w:r>
        <w:rPr>
          <w:rFonts w:hint="eastAsia"/>
        </w:rPr>
        <w:t>5.5  测试边界条件适应性调整要求</w:t>
      </w:r>
      <w:r>
        <w:tab/>
      </w:r>
      <w:r>
        <w:fldChar w:fldCharType="begin"/>
      </w:r>
      <w:r>
        <w:instrText xml:space="preserve"> PAGEREF _Toc30155 \h </w:instrText>
      </w:r>
      <w:r>
        <w:fldChar w:fldCharType="separate"/>
      </w:r>
      <w:r>
        <w:t>3</w:t>
      </w:r>
      <w:r>
        <w:fldChar w:fldCharType="end"/>
      </w:r>
      <w:r>
        <w:fldChar w:fldCharType="end"/>
      </w:r>
    </w:p>
    <w:p w14:paraId="769D5971">
      <w:pPr>
        <w:pStyle w:val="13"/>
        <w:tabs>
          <w:tab w:val="right" w:leader="dot" w:pos="9354"/>
          <w:tab w:val="clear" w:pos="9344"/>
        </w:tabs>
      </w:pPr>
      <w:r>
        <w:fldChar w:fldCharType="begin"/>
      </w:r>
      <w:r>
        <w:instrText xml:space="preserve"> HYPERLINK \l _Toc7710 </w:instrText>
      </w:r>
      <w:r>
        <w:fldChar w:fldCharType="separate"/>
      </w:r>
      <w:r>
        <w:rPr>
          <w:rFonts w:hint="eastAsia"/>
        </w:rPr>
        <w:t>附录A</w:t>
      </w:r>
      <w:r>
        <w:rPr>
          <w:rFonts w:hint="eastAsia" w:ascii="宋体" w:hAnsi="宋体" w:eastAsia="宋体" w:cs="宋体"/>
          <w:szCs w:val="21"/>
        </w:rPr>
        <w:t>（规范性）</w:t>
      </w:r>
      <w:r>
        <w:rPr>
          <w:rFonts w:hint="eastAsia" w:ascii="宋体" w:hAnsi="宋体" w:eastAsia="宋体" w:cs="宋体"/>
          <w:szCs w:val="21"/>
        </w:rPr>
        <w:t xml:space="preserve"> </w:t>
      </w:r>
      <w:r>
        <w:rPr>
          <w:rFonts w:hint="eastAsia" w:ascii="宋体" w:hAnsi="宋体" w:eastAsia="宋体" w:cs="宋体"/>
          <w:szCs w:val="21"/>
        </w:rPr>
        <w:t>注意事项</w:t>
      </w:r>
      <w:r>
        <w:tab/>
      </w:r>
      <w:r>
        <w:fldChar w:fldCharType="begin"/>
      </w:r>
      <w:r>
        <w:instrText xml:space="preserve"> PAGEREF _Toc7710 \h </w:instrText>
      </w:r>
      <w:r>
        <w:fldChar w:fldCharType="separate"/>
      </w:r>
      <w:r>
        <w:t>4</w:t>
      </w:r>
      <w:r>
        <w:fldChar w:fldCharType="end"/>
      </w:r>
      <w:r>
        <w:fldChar w:fldCharType="end"/>
      </w:r>
    </w:p>
    <w:p w14:paraId="49D2E32F">
      <w:pPr>
        <w:pStyle w:val="13"/>
        <w:tabs>
          <w:tab w:val="right" w:leader="dot" w:pos="9354"/>
          <w:tab w:val="clear" w:pos="9344"/>
        </w:tabs>
      </w:pPr>
      <w:r>
        <w:fldChar w:fldCharType="begin"/>
      </w:r>
      <w:r>
        <w:instrText xml:space="preserve"> HYPERLINK \l _Toc11812 </w:instrText>
      </w:r>
      <w:r>
        <w:fldChar w:fldCharType="separate"/>
      </w:r>
      <w:r>
        <w:rPr>
          <w:rFonts w:hint="eastAsia"/>
        </w:rPr>
        <w:t>附录B</w:t>
      </w:r>
      <w:r>
        <w:rPr>
          <w:rFonts w:hint="eastAsia" w:ascii="宋体" w:hAnsi="宋体" w:eastAsia="宋体" w:cs="宋体"/>
          <w:szCs w:val="21"/>
        </w:rPr>
        <w:t>（资料性）</w:t>
      </w:r>
      <w:r>
        <w:rPr>
          <w:rFonts w:hint="eastAsia" w:ascii="宋体" w:hAnsi="宋体" w:eastAsia="宋体" w:cs="宋体"/>
          <w:szCs w:val="21"/>
        </w:rPr>
        <w:t xml:space="preserve"> </w:t>
      </w:r>
      <w:r>
        <w:rPr>
          <w:rFonts w:hint="eastAsia" w:ascii="宋体" w:hAnsi="宋体" w:eastAsia="宋体" w:cs="宋体"/>
          <w:szCs w:val="21"/>
        </w:rPr>
        <w:t>进排气海拔模拟工作原理与构成</w:t>
      </w:r>
      <w:bookmarkStart w:id="65" w:name="_GoBack"/>
      <w:bookmarkEnd w:id="65"/>
      <w:r>
        <w:tab/>
      </w:r>
      <w:r>
        <w:fldChar w:fldCharType="begin"/>
      </w:r>
      <w:r>
        <w:instrText xml:space="preserve"> PAGEREF _Toc11812 \h </w:instrText>
      </w:r>
      <w:r>
        <w:fldChar w:fldCharType="separate"/>
      </w:r>
      <w:r>
        <w:t>5</w:t>
      </w:r>
      <w:r>
        <w:fldChar w:fldCharType="end"/>
      </w:r>
      <w:r>
        <w:fldChar w:fldCharType="end"/>
      </w:r>
    </w:p>
    <w:p w14:paraId="408D191D">
      <w:pPr>
        <w:pStyle w:val="37"/>
      </w:pPr>
      <w:r>
        <w:fldChar w:fldCharType="end"/>
      </w:r>
      <w:bookmarkStart w:id="4" w:name="_Toc17373"/>
      <w:r>
        <w:rPr>
          <w:rFonts w:hint="eastAsia"/>
        </w:rPr>
        <w:t>前</w:t>
      </w:r>
      <w:r>
        <w:rPr>
          <w:rFonts w:hAnsi="黑体"/>
        </w:rPr>
        <w:t>  </w:t>
      </w:r>
      <w:r>
        <w:rPr>
          <w:rFonts w:hint="eastAsia"/>
        </w:rPr>
        <w:t>言</w:t>
      </w:r>
      <w:bookmarkEnd w:id="4"/>
    </w:p>
    <w:p w14:paraId="000953E4">
      <w:pPr>
        <w:pStyle w:val="25"/>
        <w:ind w:firstLine="420"/>
        <w:rPr>
          <w:rFonts w:hint="eastAsia"/>
        </w:rPr>
      </w:pPr>
      <w:r>
        <w:t>本文件按照GB/T 1.1—2020《标准化工作导则 第1部分：标准化文件的结构和起草规则》起草。</w:t>
      </w:r>
    </w:p>
    <w:p w14:paraId="00E409F4">
      <w:pPr>
        <w:pStyle w:val="25"/>
        <w:ind w:firstLine="420"/>
        <w:rPr>
          <w:rFonts w:hint="eastAsia"/>
        </w:rPr>
      </w:pPr>
      <w:r>
        <w:rPr>
          <w:rFonts w:hint="eastAsia"/>
        </w:rPr>
        <w:t>请注意本文件的某些内容可能涉及专利，本文件的发布机构不承担识别专利的责任。</w:t>
      </w:r>
    </w:p>
    <w:p w14:paraId="475E8AFE">
      <w:pPr>
        <w:pStyle w:val="25"/>
        <w:ind w:firstLine="420"/>
        <w:rPr>
          <w:rFonts w:hint="eastAsia"/>
        </w:rPr>
      </w:pPr>
      <w:r>
        <w:rPr>
          <w:rFonts w:hint="eastAsia"/>
        </w:rPr>
        <w:t>本文件由中国内燃机学会标准管理部提出。</w:t>
      </w:r>
    </w:p>
    <w:p w14:paraId="1106FFFF">
      <w:pPr>
        <w:pStyle w:val="25"/>
        <w:ind w:firstLine="420"/>
        <w:rPr>
          <w:rFonts w:hint="eastAsia"/>
        </w:rPr>
      </w:pPr>
      <w:r>
        <w:rPr>
          <w:rFonts w:hint="eastAsia"/>
        </w:rPr>
        <w:t>本文件由中国内燃机学会归口。</w:t>
      </w:r>
    </w:p>
    <w:p w14:paraId="549787A4">
      <w:pPr>
        <w:pStyle w:val="25"/>
        <w:ind w:firstLine="420"/>
        <w:rPr>
          <w:rFonts w:hint="eastAsia"/>
        </w:rPr>
      </w:pPr>
      <w:r>
        <w:rPr>
          <w:rFonts w:hint="eastAsia"/>
        </w:rPr>
        <w:t>本文件起草单位：</w:t>
      </w:r>
      <w:bookmarkStart w:id="5" w:name="OLE_LINK5"/>
      <w:r>
        <w:rPr>
          <w:rFonts w:hint="eastAsia"/>
        </w:rPr>
        <w:t>中汽研汽车检验中心（昆明）有限公司、XXX。</w:t>
      </w:r>
    </w:p>
    <w:bookmarkEnd w:id="5"/>
    <w:p w14:paraId="543B8CA6">
      <w:pPr>
        <w:pStyle w:val="25"/>
        <w:ind w:firstLine="420"/>
        <w:rPr>
          <w:rFonts w:hint="eastAsia"/>
        </w:rPr>
      </w:pPr>
      <w:r>
        <w:rPr>
          <w:rFonts w:hint="eastAsia"/>
        </w:rPr>
        <w:t>本文件主要起草人：XX、XX、XX、XX。</w:t>
      </w:r>
    </w:p>
    <w:p w14:paraId="0B8F8FA1">
      <w:pPr>
        <w:pStyle w:val="25"/>
        <w:ind w:firstLine="420"/>
        <w:rPr>
          <w:rFonts w:hint="eastAsia"/>
        </w:rPr>
      </w:pPr>
      <w:r>
        <w:rPr>
          <w:rFonts w:hint="eastAsia"/>
        </w:rPr>
        <w:t>本文件于XXXX年首次发布。</w:t>
      </w:r>
    </w:p>
    <w:p w14:paraId="3B481122">
      <w:pPr>
        <w:rPr>
          <w:rFonts w:hint="eastAsia"/>
        </w:rPr>
        <w:sectPr>
          <w:headerReference r:id="rId11" w:type="first"/>
          <w:footerReference r:id="rId14" w:type="first"/>
          <w:headerReference r:id="rId10" w:type="default"/>
          <w:footerReference r:id="rId12" w:type="default"/>
          <w:footerReference r:id="rId13" w:type="even"/>
          <w:pgSz w:w="11906" w:h="16838"/>
          <w:pgMar w:top="1418" w:right="1134" w:bottom="1134" w:left="1418" w:header="1417" w:footer="1134" w:gutter="0"/>
          <w:pgNumType w:fmt="upperRoman" w:start="1"/>
          <w:cols w:space="425" w:num="1"/>
          <w:titlePg/>
          <w:docGrid w:type="lines" w:linePitch="312" w:charSpace="0"/>
        </w:sectPr>
      </w:pPr>
    </w:p>
    <w:p w14:paraId="3017C470">
      <w:pPr>
        <w:pStyle w:val="41"/>
        <w:rPr>
          <w:rFonts w:hint="eastAsia"/>
        </w:rPr>
      </w:pPr>
      <w:r>
        <w:rPr>
          <w:rFonts w:hint="eastAsia"/>
        </w:rPr>
        <w:t>发动机进排气海拔环境模拟测试条件方法</w:t>
      </w:r>
    </w:p>
    <w:p w14:paraId="1AD7D0AF">
      <w:pPr>
        <w:pStyle w:val="25"/>
        <w:tabs>
          <w:tab w:val="center" w:pos="4201"/>
          <w:tab w:val="right" w:leader="dot" w:pos="9298"/>
        </w:tabs>
        <w:ind w:firstLine="420"/>
        <w:rPr>
          <w:rFonts w:hint="eastAsia"/>
        </w:rPr>
      </w:pPr>
      <w:r>
        <w:rPr>
          <w:rFonts w:hint="eastAsia" w:ascii="黑体" w:hAnsi="黑体" w:eastAsia="黑体"/>
        </w:rPr>
        <w:t>警告：本标准的应用可能涉及到某些有危险性的材料、操作和设备，但未对与此有关的所有安全问题都提出建议。因此，用户在使用本标准之前有责任制定相应的安全和防护措施（见附录A），并确定相关规章限制的适用性。</w:t>
      </w:r>
    </w:p>
    <w:p w14:paraId="646D94CD">
      <w:pPr>
        <w:pStyle w:val="39"/>
        <w:rPr>
          <w:rFonts w:hint="eastAsia"/>
        </w:rPr>
      </w:pPr>
      <w:bookmarkStart w:id="6" w:name="_Toc9319"/>
      <w:r>
        <w:rPr>
          <w:rFonts w:hint="eastAsia"/>
        </w:rPr>
        <w:t>1　范围</w:t>
      </w:r>
      <w:bookmarkEnd w:id="6"/>
    </w:p>
    <w:p w14:paraId="5AF26466">
      <w:pPr>
        <w:pStyle w:val="25"/>
        <w:ind w:firstLine="420"/>
        <w:rPr>
          <w:rFonts w:hint="eastAsia"/>
        </w:rPr>
      </w:pPr>
      <w:r>
        <w:rPr>
          <w:rFonts w:hint="eastAsia"/>
        </w:rPr>
        <w:t>本文件规定了发动机采用进排气海拔模拟不同海拔标定开发测试的条件方法。</w:t>
      </w:r>
    </w:p>
    <w:p w14:paraId="2002746C">
      <w:pPr>
        <w:pStyle w:val="25"/>
        <w:ind w:firstLine="420"/>
        <w:rPr>
          <w:rFonts w:hint="eastAsia"/>
        </w:rPr>
      </w:pPr>
      <w:r>
        <w:rPr>
          <w:rFonts w:hint="eastAsia"/>
        </w:rPr>
        <w:t>本文件适用于发动机采用进排气海拔进行模拟不同海拔工况的高原标定与性能测试。</w:t>
      </w:r>
    </w:p>
    <w:p w14:paraId="19392522">
      <w:pPr>
        <w:pStyle w:val="39"/>
        <w:rPr>
          <w:rFonts w:hint="eastAsia"/>
        </w:rPr>
      </w:pPr>
      <w:bookmarkStart w:id="7" w:name="_Toc7514"/>
      <w:r>
        <w:rPr>
          <w:rFonts w:hint="eastAsia"/>
        </w:rPr>
        <w:t>2　规范性引用文件</w:t>
      </w:r>
      <w:bookmarkEnd w:id="7"/>
    </w:p>
    <w:p w14:paraId="40525148">
      <w:pPr>
        <w:pStyle w:val="25"/>
        <w:ind w:firstLine="420"/>
        <w:rPr>
          <w:rFonts w:hint="eastAsia" w:cs="宋体"/>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1051F62">
      <w:pPr>
        <w:pStyle w:val="25"/>
        <w:ind w:firstLine="420"/>
        <w:rPr>
          <w:rFonts w:hint="eastAsia" w:cs="宋体"/>
          <w:szCs w:val="21"/>
        </w:rPr>
      </w:pPr>
      <w:r>
        <w:rPr>
          <w:rFonts w:hint="eastAsia" w:cs="宋体"/>
          <w:szCs w:val="21"/>
        </w:rPr>
        <w:t>JB/T 11325-2013 内燃机涡轮增压器执行器技术规范</w:t>
      </w:r>
    </w:p>
    <w:p w14:paraId="2C91BF7B">
      <w:pPr>
        <w:pStyle w:val="25"/>
        <w:ind w:firstLine="420"/>
        <w:rPr>
          <w:rFonts w:hint="eastAsia" w:cs="宋体"/>
          <w:szCs w:val="21"/>
        </w:rPr>
      </w:pPr>
      <w:r>
        <w:rPr>
          <w:rFonts w:hint="eastAsia" w:cs="宋体"/>
          <w:szCs w:val="21"/>
        </w:rPr>
        <w:t>T/CSICE 002-2023 重型车用发动机污染物排放测量（高原）法</w:t>
      </w:r>
    </w:p>
    <w:p w14:paraId="6E6B9318">
      <w:pPr>
        <w:pStyle w:val="39"/>
        <w:rPr>
          <w:rFonts w:hint="eastAsia"/>
        </w:rPr>
      </w:pPr>
      <w:bookmarkStart w:id="8" w:name="_Toc24316"/>
      <w:r>
        <w:rPr>
          <w:rFonts w:hint="eastAsia"/>
        </w:rPr>
        <w:t>3　术语和定义</w:t>
      </w:r>
      <w:bookmarkEnd w:id="8"/>
    </w:p>
    <w:p w14:paraId="2FF6EF83">
      <w:pPr>
        <w:pStyle w:val="25"/>
        <w:ind w:firstLine="420"/>
        <w:rPr>
          <w:rFonts w:hint="eastAsia"/>
        </w:rPr>
      </w:pPr>
      <w:r>
        <w:rPr>
          <w:rFonts w:hint="eastAsia"/>
        </w:rPr>
        <w:t>下列术语和定义适用于本文件。</w:t>
      </w:r>
    </w:p>
    <w:p w14:paraId="2F4F4EBB">
      <w:pPr>
        <w:pStyle w:val="38"/>
        <w:rPr>
          <w:rFonts w:hint="eastAsia"/>
        </w:rPr>
      </w:pPr>
      <w:bookmarkStart w:id="9" w:name="_Toc25730"/>
      <w:bookmarkStart w:id="10" w:name="_Toc198646096"/>
      <w:bookmarkStart w:id="11" w:name="_Toc198645760"/>
      <w:bookmarkStart w:id="12" w:name="_Toc198646025"/>
      <w:bookmarkStart w:id="13" w:name="_Toc198645608"/>
      <w:bookmarkStart w:id="14" w:name="_Toc15579"/>
      <w:bookmarkStart w:id="15" w:name="_Toc17588"/>
      <w:bookmarkStart w:id="16" w:name="_Toc15856"/>
      <w:bookmarkStart w:id="17" w:name="_Toc4933"/>
      <w:bookmarkStart w:id="18" w:name="_Toc2185"/>
      <w:bookmarkStart w:id="19" w:name="_Toc24594"/>
      <w:r>
        <w:rPr>
          <w:rFonts w:hint="eastAsia"/>
        </w:rPr>
        <w:t>3.</w:t>
      </w:r>
      <w:bookmarkEnd w:id="9"/>
      <w:bookmarkEnd w:id="10"/>
      <w:bookmarkEnd w:id="11"/>
      <w:bookmarkEnd w:id="12"/>
      <w:bookmarkEnd w:id="13"/>
      <w:bookmarkEnd w:id="14"/>
      <w:bookmarkEnd w:id="15"/>
      <w:r>
        <w:rPr>
          <w:rFonts w:hint="eastAsia"/>
        </w:rPr>
        <w:t>1</w:t>
      </w:r>
      <w:bookmarkEnd w:id="16"/>
      <w:bookmarkEnd w:id="17"/>
      <w:bookmarkEnd w:id="18"/>
      <w:bookmarkEnd w:id="19"/>
      <w:r>
        <w:rPr>
          <w:rFonts w:hint="eastAsia"/>
        </w:rPr>
        <w:t>　</w:t>
      </w:r>
    </w:p>
    <w:p w14:paraId="108C231E">
      <w:pPr>
        <w:pStyle w:val="27"/>
        <w:ind w:firstLine="420"/>
        <w:rPr>
          <w:rFonts w:hint="eastAsia"/>
        </w:rPr>
      </w:pPr>
      <w:r>
        <w:rPr>
          <w:rFonts w:hint="eastAsia"/>
        </w:rPr>
        <w:t>进排气海拔模拟系统　intake and exhaust altitude simulation system</w:t>
      </w:r>
    </w:p>
    <w:p w14:paraId="6B2BFECD">
      <w:pPr>
        <w:pStyle w:val="25"/>
        <w:ind w:firstLine="420"/>
        <w:rPr>
          <w:rFonts w:hint="eastAsia"/>
        </w:rPr>
      </w:pPr>
      <w:r>
        <w:rPr>
          <w:rFonts w:hint="eastAsia"/>
        </w:rPr>
        <w:t>通过在发动机进气口之前增加风机、空调及控制器、排气口之后增加风机和控制器，调节发动机进排气压力、温度和湿度，模拟不同海拔下的大气环境，实现模拟发动机工作在不同海拔测试的控制系统。</w:t>
      </w:r>
    </w:p>
    <w:p w14:paraId="11DAF490">
      <w:pPr>
        <w:pStyle w:val="38"/>
        <w:rPr>
          <w:rFonts w:hint="eastAsia"/>
        </w:rPr>
      </w:pPr>
      <w:bookmarkStart w:id="20" w:name="_Toc198645610"/>
      <w:bookmarkStart w:id="21" w:name="_Toc198646027"/>
      <w:bookmarkStart w:id="22" w:name="_Toc26337"/>
      <w:bookmarkStart w:id="23" w:name="_Toc32023"/>
      <w:bookmarkStart w:id="24" w:name="_Toc198645762"/>
      <w:bookmarkStart w:id="25" w:name="_Toc17822"/>
      <w:bookmarkStart w:id="26" w:name="_Toc198646098"/>
      <w:bookmarkStart w:id="27" w:name="_Toc12051"/>
      <w:bookmarkStart w:id="28" w:name="_Toc20852"/>
      <w:bookmarkStart w:id="29" w:name="_Toc13224"/>
      <w:bookmarkStart w:id="30" w:name="_Toc26766"/>
      <w:r>
        <w:rPr>
          <w:rFonts w:hint="eastAsia"/>
        </w:rPr>
        <w:t>3.</w:t>
      </w:r>
      <w:bookmarkEnd w:id="20"/>
      <w:bookmarkEnd w:id="21"/>
      <w:bookmarkEnd w:id="22"/>
      <w:bookmarkEnd w:id="23"/>
      <w:bookmarkEnd w:id="24"/>
      <w:bookmarkEnd w:id="25"/>
      <w:bookmarkEnd w:id="26"/>
      <w:r>
        <w:rPr>
          <w:rFonts w:hint="eastAsia"/>
        </w:rPr>
        <w:t>2</w:t>
      </w:r>
      <w:bookmarkEnd w:id="27"/>
      <w:bookmarkEnd w:id="28"/>
      <w:bookmarkEnd w:id="29"/>
      <w:bookmarkEnd w:id="30"/>
      <w:r>
        <w:rPr>
          <w:rFonts w:hint="eastAsia"/>
        </w:rPr>
        <w:t>　</w:t>
      </w:r>
    </w:p>
    <w:p w14:paraId="17E4F5FB">
      <w:pPr>
        <w:pStyle w:val="27"/>
        <w:ind w:firstLine="420"/>
        <w:rPr>
          <w:rFonts w:hint="eastAsia"/>
        </w:rPr>
      </w:pPr>
      <w:r>
        <w:rPr>
          <w:rFonts w:hint="eastAsia"/>
        </w:rPr>
        <w:t>涡轮增压器废气旁通装置　turbocharger exhaust bypass device</w:t>
      </w:r>
    </w:p>
    <w:p w14:paraId="45BD6477">
      <w:pPr>
        <w:pStyle w:val="25"/>
        <w:ind w:firstLine="420"/>
        <w:rPr>
          <w:rFonts w:hint="eastAsia"/>
        </w:rPr>
      </w:pPr>
      <w:r>
        <w:rPr>
          <w:rFonts w:hint="eastAsia"/>
        </w:rPr>
        <w:t>通过压气机出口压力和环境压力的压力差控制废气旁通阀的开启和关闭状态来调整进气增压压力。</w:t>
      </w:r>
    </w:p>
    <w:p w14:paraId="0DC4119C">
      <w:pPr>
        <w:pStyle w:val="38"/>
        <w:rPr>
          <w:rFonts w:hint="eastAsia"/>
        </w:rPr>
      </w:pPr>
      <w:bookmarkStart w:id="31" w:name="_Toc17393"/>
      <w:bookmarkStart w:id="32" w:name="_Toc9092"/>
      <w:bookmarkStart w:id="33" w:name="_Toc19837"/>
      <w:bookmarkStart w:id="34" w:name="_Toc2268"/>
      <w:bookmarkStart w:id="35" w:name="_Toc15812"/>
      <w:bookmarkStart w:id="36" w:name="_Toc27007"/>
      <w:bookmarkStart w:id="37" w:name="_Toc21202"/>
      <w:r>
        <w:rPr>
          <w:rFonts w:hint="eastAsia"/>
        </w:rPr>
        <w:t>3.</w:t>
      </w:r>
      <w:bookmarkEnd w:id="31"/>
      <w:bookmarkEnd w:id="32"/>
      <w:bookmarkEnd w:id="33"/>
      <w:r>
        <w:rPr>
          <w:rFonts w:hint="eastAsia"/>
        </w:rPr>
        <w:t>3</w:t>
      </w:r>
      <w:bookmarkEnd w:id="34"/>
      <w:bookmarkEnd w:id="35"/>
      <w:bookmarkEnd w:id="36"/>
      <w:bookmarkEnd w:id="37"/>
    </w:p>
    <w:p w14:paraId="35E4421F">
      <w:pPr>
        <w:pStyle w:val="27"/>
        <w:ind w:firstLine="420"/>
        <w:rPr>
          <w:rFonts w:hint="eastAsia"/>
        </w:rPr>
      </w:pPr>
      <w:r>
        <w:rPr>
          <w:rFonts w:hint="eastAsia"/>
        </w:rPr>
        <w:t>进气控制单元　intake control unit</w:t>
      </w:r>
    </w:p>
    <w:p w14:paraId="10C97ECC">
      <w:pPr>
        <w:pStyle w:val="25"/>
        <w:ind w:firstLine="420"/>
        <w:rPr>
          <w:rFonts w:hint="eastAsia"/>
        </w:rPr>
      </w:pPr>
      <w:r>
        <w:rPr>
          <w:rFonts w:hint="eastAsia"/>
        </w:rPr>
        <w:t>进排气海拔模拟系统中用于调节发动机进气压力、温度和湿度的装置，通过施加正压模拟低海拔至高海拔范围内的进气环境，确保进气状态符合目标海拔工况要求。</w:t>
      </w:r>
    </w:p>
    <w:p w14:paraId="1D12224A">
      <w:pPr>
        <w:pStyle w:val="38"/>
        <w:rPr>
          <w:rFonts w:hint="eastAsia"/>
        </w:rPr>
      </w:pPr>
      <w:bookmarkStart w:id="38" w:name="_Toc14280"/>
      <w:bookmarkStart w:id="39" w:name="_Toc19981"/>
      <w:bookmarkStart w:id="40" w:name="_Toc27163"/>
      <w:bookmarkStart w:id="41" w:name="_Toc4426"/>
      <w:bookmarkStart w:id="42" w:name="_Toc23796"/>
      <w:bookmarkStart w:id="43" w:name="_Toc23444"/>
      <w:bookmarkStart w:id="44" w:name="_Toc21517"/>
      <w:r>
        <w:rPr>
          <w:rFonts w:hint="eastAsia"/>
        </w:rPr>
        <w:t>3.</w:t>
      </w:r>
      <w:bookmarkEnd w:id="38"/>
      <w:bookmarkEnd w:id="39"/>
      <w:bookmarkEnd w:id="40"/>
      <w:r>
        <w:rPr>
          <w:rFonts w:hint="eastAsia"/>
        </w:rPr>
        <w:t>4</w:t>
      </w:r>
      <w:bookmarkEnd w:id="41"/>
      <w:bookmarkEnd w:id="42"/>
      <w:bookmarkEnd w:id="43"/>
      <w:bookmarkEnd w:id="44"/>
    </w:p>
    <w:p w14:paraId="5BBA43FA">
      <w:pPr>
        <w:pStyle w:val="27"/>
        <w:ind w:firstLine="420"/>
        <w:rPr>
          <w:rFonts w:hint="eastAsia"/>
        </w:rPr>
      </w:pPr>
      <w:r>
        <w:rPr>
          <w:rFonts w:hint="eastAsia"/>
        </w:rPr>
        <w:t>排气控制单元　exhaust control unit</w:t>
      </w:r>
    </w:p>
    <w:p w14:paraId="13CEB885">
      <w:pPr>
        <w:pStyle w:val="25"/>
        <w:ind w:firstLine="420"/>
        <w:rPr>
          <w:rFonts w:hint="eastAsia"/>
        </w:rPr>
      </w:pPr>
      <w:r>
        <w:rPr>
          <w:rFonts w:hint="eastAsia"/>
        </w:rPr>
        <w:t>进排气海拔模拟系统中用于调节发动机排气管路压力的装置，通过抽负压调控涡轮后端压力，配合进气条件控制单元，模拟不同海拔下发动机的进排气环境条件。</w:t>
      </w:r>
    </w:p>
    <w:p w14:paraId="7C8992F7">
      <w:pPr>
        <w:pStyle w:val="39"/>
        <w:rPr>
          <w:rFonts w:hint="eastAsia"/>
        </w:rPr>
      </w:pPr>
      <w:bookmarkStart w:id="45" w:name="_Toc511374136"/>
      <w:bookmarkStart w:id="46" w:name="_Toc28348"/>
      <w:r>
        <w:rPr>
          <w:rFonts w:hint="eastAsia"/>
        </w:rPr>
        <w:t>4</w:t>
      </w:r>
      <w:bookmarkEnd w:id="45"/>
      <w:r>
        <w:rPr>
          <w:rFonts w:hint="eastAsia"/>
        </w:rPr>
        <w:t>　技术要求</w:t>
      </w:r>
      <w:bookmarkEnd w:id="46"/>
    </w:p>
    <w:p w14:paraId="44D806F7">
      <w:pPr>
        <w:pStyle w:val="38"/>
        <w:rPr>
          <w:rFonts w:hint="eastAsia"/>
        </w:rPr>
      </w:pPr>
      <w:bookmarkStart w:id="47" w:name="_Toc26682"/>
      <w:r>
        <w:rPr>
          <w:rFonts w:hint="eastAsia"/>
        </w:rPr>
        <w:t>4.1　环境条件</w:t>
      </w:r>
      <w:bookmarkEnd w:id="47"/>
    </w:p>
    <w:p w14:paraId="2E9007AD">
      <w:pPr>
        <w:pStyle w:val="25"/>
        <w:numPr>
          <w:ilvl w:val="0"/>
          <w:numId w:val="1"/>
        </w:numPr>
        <w:ind w:firstLineChars="0"/>
        <w:rPr>
          <w:rFonts w:hint="eastAsia"/>
        </w:rPr>
      </w:pPr>
      <w:r>
        <w:rPr>
          <w:rFonts w:hint="eastAsia" w:ascii="Times New Roman" w:hAnsi="Times New Roman"/>
          <w:szCs w:val="21"/>
        </w:rPr>
        <w:t xml:space="preserve">环境温度：-50℃～50℃ </w:t>
      </w:r>
    </w:p>
    <w:p w14:paraId="6683386F">
      <w:pPr>
        <w:pStyle w:val="25"/>
        <w:numPr>
          <w:ilvl w:val="0"/>
          <w:numId w:val="1"/>
        </w:numPr>
        <w:ind w:firstLineChars="0"/>
        <w:rPr>
          <w:rFonts w:hint="eastAsia"/>
        </w:rPr>
      </w:pPr>
      <w:r>
        <w:rPr>
          <w:rFonts w:hint="eastAsia" w:ascii="Times New Roman" w:hAnsi="Times New Roman"/>
          <w:szCs w:val="21"/>
        </w:rPr>
        <w:t>相对湿度：≤</w:t>
      </w:r>
      <w:r>
        <w:rPr>
          <w:rFonts w:ascii="Times New Roman" w:hAnsi="Times New Roman"/>
          <w:szCs w:val="21"/>
        </w:rPr>
        <w:t>85%</w:t>
      </w:r>
      <w:r>
        <w:rPr>
          <w:rFonts w:hint="eastAsia" w:ascii="Times New Roman" w:hAnsi="Times New Roman"/>
          <w:szCs w:val="21"/>
        </w:rPr>
        <w:t>RH</w:t>
      </w:r>
      <w:r>
        <w:rPr>
          <w:rFonts w:ascii="Times New Roman" w:hAnsi="Times New Roman"/>
          <w:szCs w:val="21"/>
        </w:rPr>
        <w:t xml:space="preserve"> </w:t>
      </w:r>
    </w:p>
    <w:p w14:paraId="5318EA31">
      <w:pPr>
        <w:pStyle w:val="38"/>
        <w:rPr>
          <w:rFonts w:hint="eastAsia"/>
        </w:rPr>
      </w:pPr>
      <w:bookmarkStart w:id="48" w:name="_Toc28940"/>
      <w:r>
        <w:rPr>
          <w:rFonts w:hint="eastAsia"/>
        </w:rPr>
        <w:t>4.2　压力调节性能要求</w:t>
      </w:r>
      <w:bookmarkEnd w:id="48"/>
    </w:p>
    <w:p w14:paraId="7DDD3AE8">
      <w:pPr>
        <w:pStyle w:val="25"/>
        <w:numPr>
          <w:ilvl w:val="0"/>
          <w:numId w:val="2"/>
        </w:numPr>
        <w:ind w:firstLineChars="0"/>
        <w:rPr>
          <w:rFonts w:hint="eastAsia"/>
        </w:rPr>
      </w:pPr>
      <w:r>
        <w:rPr>
          <w:rFonts w:hint="eastAsia" w:ascii="Times New Roman" w:hAnsi="Times New Roman"/>
          <w:szCs w:val="21"/>
        </w:rPr>
        <w:t>模拟海拔条件：0-5</w:t>
      </w:r>
      <w:r>
        <w:rPr>
          <w:rFonts w:hint="eastAsia"/>
        </w:rPr>
        <w:t>6</w:t>
      </w:r>
      <w:r>
        <w:rPr>
          <w:rFonts w:hint="eastAsia" w:ascii="Times New Roman" w:hAnsi="Times New Roman"/>
          <w:szCs w:val="21"/>
        </w:rPr>
        <w:t xml:space="preserve">00米 </w:t>
      </w:r>
    </w:p>
    <w:p w14:paraId="2B29BFB5">
      <w:pPr>
        <w:pStyle w:val="25"/>
        <w:numPr>
          <w:ilvl w:val="0"/>
          <w:numId w:val="2"/>
        </w:numPr>
        <w:ind w:firstLineChars="0"/>
        <w:rPr>
          <w:rFonts w:hint="eastAsia"/>
        </w:rPr>
      </w:pPr>
      <w:r>
        <w:rPr>
          <w:rFonts w:hint="eastAsia"/>
        </w:rPr>
        <w:t>进排气压力调节范围:50kPa～101.3kPa</w:t>
      </w:r>
    </w:p>
    <w:p w14:paraId="7BAC4C1B">
      <w:pPr>
        <w:pStyle w:val="25"/>
        <w:numPr>
          <w:ilvl w:val="0"/>
          <w:numId w:val="2"/>
        </w:numPr>
        <w:ind w:firstLineChars="0"/>
        <w:rPr>
          <w:rFonts w:hint="eastAsia"/>
        </w:rPr>
      </w:pPr>
      <w:r>
        <w:rPr>
          <w:rFonts w:hint="eastAsia" w:cs="宋体"/>
          <w:color w:val="000000"/>
          <w:szCs w:val="21"/>
          <w:lang w:bidi="ar"/>
        </w:rPr>
        <w:t xml:space="preserve">动态进气压力响应时间：≤3s </w:t>
      </w:r>
    </w:p>
    <w:p w14:paraId="1BF0A158">
      <w:pPr>
        <w:pStyle w:val="38"/>
        <w:rPr>
          <w:rFonts w:hint="eastAsia"/>
        </w:rPr>
      </w:pPr>
      <w:bookmarkStart w:id="49" w:name="_Toc16609"/>
      <w:r>
        <w:t>4.</w:t>
      </w:r>
      <w:r>
        <w:rPr>
          <w:rFonts w:hint="eastAsia"/>
        </w:rPr>
        <w:t>3　温度调节性能要求</w:t>
      </w:r>
      <w:bookmarkEnd w:id="49"/>
    </w:p>
    <w:p w14:paraId="796A786B">
      <w:pPr>
        <w:pStyle w:val="25"/>
        <w:numPr>
          <w:ilvl w:val="0"/>
          <w:numId w:val="3"/>
        </w:numPr>
        <w:ind w:firstLineChars="0"/>
        <w:rPr>
          <w:rFonts w:hint="eastAsia"/>
        </w:rPr>
      </w:pPr>
      <w:r>
        <w:rPr>
          <w:rFonts w:hint="eastAsia" w:ascii="Times New Roman" w:hAnsi="Times New Roman"/>
          <w:szCs w:val="21"/>
        </w:rPr>
        <w:t xml:space="preserve">温度调节范围：-50℃～50℃（发动机进气口） </w:t>
      </w:r>
    </w:p>
    <w:p w14:paraId="049A9DB5">
      <w:pPr>
        <w:pStyle w:val="25"/>
        <w:numPr>
          <w:ilvl w:val="0"/>
          <w:numId w:val="3"/>
        </w:numPr>
        <w:ind w:firstLineChars="0"/>
        <w:rPr>
          <w:rFonts w:hint="eastAsia"/>
        </w:rPr>
      </w:pPr>
      <w:r>
        <w:rPr>
          <w:rFonts w:hint="eastAsia"/>
        </w:rPr>
        <w:t>进气空气温度稳定并达到温度控制精度内的时间小于60秒</w:t>
      </w:r>
    </w:p>
    <w:p w14:paraId="3AA0CD8B">
      <w:pPr>
        <w:pStyle w:val="38"/>
        <w:rPr>
          <w:rFonts w:hint="eastAsia"/>
        </w:rPr>
      </w:pPr>
      <w:bookmarkStart w:id="50" w:name="_Toc29684"/>
      <w:r>
        <w:t>4.</w:t>
      </w:r>
      <w:r>
        <w:rPr>
          <w:rFonts w:hint="eastAsia"/>
        </w:rPr>
        <w:t>4　湿度调节性能要求</w:t>
      </w:r>
      <w:bookmarkEnd w:id="50"/>
    </w:p>
    <w:p w14:paraId="45FA2E74">
      <w:pPr>
        <w:pStyle w:val="25"/>
        <w:numPr>
          <w:ilvl w:val="0"/>
          <w:numId w:val="4"/>
        </w:numPr>
        <w:ind w:firstLineChars="0"/>
        <w:rPr>
          <w:rFonts w:hint="eastAsia"/>
        </w:rPr>
      </w:pPr>
      <w:r>
        <w:rPr>
          <w:rFonts w:hint="eastAsia" w:ascii="Times New Roman" w:hAnsi="Times New Roman"/>
          <w:szCs w:val="21"/>
        </w:rPr>
        <w:t>相对湿度调节范围：15%RH～85%RH</w:t>
      </w:r>
    </w:p>
    <w:p w14:paraId="29D4F3A1">
      <w:pPr>
        <w:pStyle w:val="25"/>
        <w:numPr>
          <w:ilvl w:val="0"/>
          <w:numId w:val="4"/>
        </w:numPr>
        <w:ind w:firstLineChars="0"/>
        <w:rPr>
          <w:rFonts w:hint="eastAsia"/>
        </w:rPr>
      </w:pPr>
      <w:r>
        <w:rPr>
          <w:rFonts w:hint="eastAsia"/>
        </w:rPr>
        <w:t>进气空气湿度稳定并达到湿度控制精度内的时间小于120秒</w:t>
      </w:r>
    </w:p>
    <w:p w14:paraId="69933902">
      <w:pPr>
        <w:pStyle w:val="39"/>
        <w:numPr>
          <w:ilvl w:val="0"/>
          <w:numId w:val="5"/>
        </w:numPr>
        <w:rPr>
          <w:rFonts w:hint="eastAsia"/>
        </w:rPr>
      </w:pPr>
      <w:bookmarkStart w:id="51" w:name="_Toc3761"/>
      <w:r>
        <w:rPr>
          <w:rFonts w:hint="eastAsia"/>
        </w:rPr>
        <w:t>系统调整方法</w:t>
      </w:r>
      <w:bookmarkEnd w:id="51"/>
    </w:p>
    <w:p w14:paraId="4FFEF38B">
      <w:pPr>
        <w:pStyle w:val="38"/>
        <w:rPr>
          <w:rFonts w:hint="eastAsia"/>
        </w:rPr>
      </w:pPr>
      <w:bookmarkStart w:id="52" w:name="_Toc3975"/>
      <w:r>
        <w:rPr>
          <w:rFonts w:hint="eastAsia"/>
        </w:rPr>
        <w:t>5.1　增压器适应性调整要求</w:t>
      </w:r>
      <w:bookmarkEnd w:id="52"/>
    </w:p>
    <w:p w14:paraId="02D1F1F8">
      <w:pPr>
        <w:pStyle w:val="25"/>
        <w:ind w:firstLine="420"/>
        <w:rPr>
          <w:rFonts w:hint="eastAsia"/>
        </w:rPr>
      </w:pPr>
      <w:r>
        <w:rPr>
          <w:rFonts w:hint="eastAsia"/>
        </w:rPr>
        <w:t>在进行发动机不同海拔下的进排气海拔模拟测试时，若发动机的增压器为废气涡轮增压器，需保证在不同模拟海拔条件下增压器旁通阀执行器运行正常，可采用以下方法对增压器进行适应性调整。</w:t>
      </w:r>
    </w:p>
    <w:p w14:paraId="4B3C5BBC">
      <w:pPr>
        <w:pStyle w:val="40"/>
        <w:rPr>
          <w:rFonts w:hint="eastAsia"/>
        </w:rPr>
      </w:pPr>
      <w:bookmarkStart w:id="53" w:name="_Toc4880"/>
      <w:r>
        <w:rPr>
          <w:rFonts w:hint="eastAsia"/>
        </w:rPr>
        <w:t>5.1.1　涡轮增压器拉杆螺母调节</w:t>
      </w:r>
      <w:bookmarkEnd w:id="53"/>
    </w:p>
    <w:p w14:paraId="65980E51">
      <w:pPr>
        <w:pStyle w:val="25"/>
        <w:ind w:firstLine="420"/>
        <w:rPr>
          <w:rFonts w:hint="eastAsia"/>
        </w:rPr>
      </w:pPr>
      <w:r>
        <w:rPr>
          <w:rFonts w:hint="eastAsia"/>
        </w:rPr>
        <w:t>通过旋转拉杆螺母调整压杆长度调节旁通阀执行器中弹簧的预紧力，抵消进行各个模拟海拔下膜片弹簧大气环境端腔体与进排气海拔模拟的压力差。</w:t>
      </w:r>
    </w:p>
    <w:p w14:paraId="156A3429">
      <w:pPr>
        <w:pStyle w:val="25"/>
        <w:ind w:firstLine="420"/>
        <w:rPr>
          <w:rFonts w:hint="eastAsia"/>
        </w:rPr>
      </w:pPr>
      <w:r>
        <w:rPr>
          <w:rFonts w:hint="eastAsia"/>
        </w:rPr>
        <w:t>调节在测试地海拔下进行各模拟海拔时需要的拉杆长度再进行相应海拔测试（一般增压器厂家确认），增压器厂家需给出各个海拔下所对应的螺杆长度，也可通过给增压器执行器压气机端通过打压的方式采用千分表进行测量不同压差下拉杆的伸缩长度，拉杆长度与海拔高度标定测量记录见表1。</w:t>
      </w:r>
    </w:p>
    <w:p w14:paraId="265FD09A">
      <w:pPr>
        <w:spacing w:line="360" w:lineRule="auto"/>
        <w:ind w:firstLine="420" w:firstLineChars="200"/>
        <w:jc w:val="center"/>
        <w:rPr>
          <w:rFonts w:hint="eastAsia" w:cs="Times New Roman"/>
          <w:kern w:val="0"/>
          <w:szCs w:val="21"/>
        </w:rPr>
      </w:pPr>
      <w:r>
        <w:rPr>
          <w:rFonts w:hint="eastAsia" w:cs="Times New Roman"/>
          <w:kern w:val="0"/>
          <w:szCs w:val="21"/>
        </w:rPr>
        <w:t>表1 各个海拔下拉杆长度测量记录表</w:t>
      </w:r>
    </w:p>
    <w:tbl>
      <w:tblPr>
        <w:tblStyle w:val="18"/>
        <w:tblW w:w="45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2"/>
        <w:gridCol w:w="1503"/>
        <w:gridCol w:w="4099"/>
        <w:gridCol w:w="1793"/>
      </w:tblGrid>
      <w:tr w14:paraId="35BF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8" w:type="pct"/>
            <w:tcBorders>
              <w:top w:val="single" w:color="auto" w:sz="4" w:space="0"/>
              <w:left w:val="single" w:color="auto" w:sz="4" w:space="0"/>
              <w:right w:val="single" w:color="auto" w:sz="4" w:space="0"/>
            </w:tcBorders>
            <w:vAlign w:val="center"/>
          </w:tcPr>
          <w:p w14:paraId="44D27744">
            <w:pPr>
              <w:jc w:val="center"/>
              <w:rPr>
                <w:rFonts w:hint="eastAsia" w:cs="Times New Roman"/>
                <w:sz w:val="18"/>
                <w:szCs w:val="18"/>
              </w:rPr>
            </w:pPr>
            <w:r>
              <w:rPr>
                <w:rFonts w:hint="eastAsia" w:cs="Times New Roman"/>
                <w:sz w:val="18"/>
                <w:szCs w:val="18"/>
              </w:rPr>
              <w:t>机型</w:t>
            </w:r>
          </w:p>
        </w:tc>
        <w:tc>
          <w:tcPr>
            <w:tcW w:w="860" w:type="pct"/>
            <w:tcBorders>
              <w:top w:val="single" w:color="auto" w:sz="4" w:space="0"/>
              <w:left w:val="single" w:color="auto" w:sz="4" w:space="0"/>
              <w:right w:val="single" w:color="auto" w:sz="4" w:space="0"/>
            </w:tcBorders>
            <w:vAlign w:val="center"/>
          </w:tcPr>
          <w:p w14:paraId="593644F1">
            <w:pPr>
              <w:jc w:val="center"/>
              <w:rPr>
                <w:rFonts w:hint="eastAsia" w:cs="Times New Roman"/>
                <w:sz w:val="18"/>
                <w:szCs w:val="18"/>
              </w:rPr>
            </w:pPr>
            <w:r>
              <w:rPr>
                <w:rFonts w:hint="eastAsia" w:cs="Times New Roman"/>
                <w:sz w:val="18"/>
                <w:szCs w:val="18"/>
              </w:rPr>
              <w:t>档位</w:t>
            </w:r>
          </w:p>
        </w:tc>
        <w:tc>
          <w:tcPr>
            <w:tcW w:w="2345" w:type="pct"/>
            <w:tcBorders>
              <w:top w:val="single" w:color="auto" w:sz="4" w:space="0"/>
              <w:left w:val="single" w:color="auto" w:sz="4" w:space="0"/>
              <w:right w:val="single" w:color="auto" w:sz="4" w:space="0"/>
            </w:tcBorders>
            <w:vAlign w:val="center"/>
          </w:tcPr>
          <w:p w14:paraId="11FFB835">
            <w:pPr>
              <w:jc w:val="center"/>
              <w:rPr>
                <w:rFonts w:hint="eastAsia" w:cs="Times New Roman"/>
                <w:sz w:val="18"/>
                <w:szCs w:val="18"/>
              </w:rPr>
            </w:pPr>
            <w:r>
              <w:rPr>
                <w:rFonts w:hint="eastAsia" w:cs="Times New Roman"/>
                <w:sz w:val="18"/>
                <w:szCs w:val="18"/>
              </w:rPr>
              <w:t>拉杆长度（mm）</w:t>
            </w:r>
          </w:p>
        </w:tc>
        <w:tc>
          <w:tcPr>
            <w:tcW w:w="1025" w:type="pct"/>
            <w:tcBorders>
              <w:top w:val="single" w:color="auto" w:sz="4" w:space="0"/>
              <w:left w:val="single" w:color="auto" w:sz="4" w:space="0"/>
              <w:bottom w:val="single" w:color="auto" w:sz="4" w:space="0"/>
              <w:right w:val="single" w:color="auto" w:sz="4" w:space="0"/>
            </w:tcBorders>
            <w:vAlign w:val="center"/>
          </w:tcPr>
          <w:p w14:paraId="1A4A76E3">
            <w:pPr>
              <w:jc w:val="center"/>
              <w:rPr>
                <w:rFonts w:hint="eastAsia" w:cs="Times New Roman"/>
                <w:sz w:val="18"/>
                <w:szCs w:val="18"/>
              </w:rPr>
            </w:pPr>
            <w:r>
              <w:rPr>
                <w:rFonts w:hint="eastAsia" w:cs="Times New Roman"/>
                <w:sz w:val="18"/>
                <w:szCs w:val="18"/>
              </w:rPr>
              <w:t>备注</w:t>
            </w:r>
          </w:p>
        </w:tc>
      </w:tr>
      <w:tr w14:paraId="1345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8" w:type="pct"/>
            <w:vMerge w:val="restart"/>
            <w:tcBorders>
              <w:top w:val="single" w:color="auto" w:sz="4" w:space="0"/>
              <w:left w:val="single" w:color="auto" w:sz="4" w:space="0"/>
              <w:right w:val="single" w:color="auto" w:sz="4" w:space="0"/>
            </w:tcBorders>
            <w:vAlign w:val="center"/>
          </w:tcPr>
          <w:p w14:paraId="1577473B">
            <w:pPr>
              <w:jc w:val="center"/>
              <w:rPr>
                <w:rFonts w:hint="eastAsia" w:cs="Times New Roman"/>
                <w:sz w:val="18"/>
                <w:szCs w:val="18"/>
              </w:rPr>
            </w:pPr>
          </w:p>
        </w:tc>
        <w:tc>
          <w:tcPr>
            <w:tcW w:w="860" w:type="pct"/>
            <w:tcBorders>
              <w:top w:val="single" w:color="auto" w:sz="4" w:space="0"/>
              <w:left w:val="single" w:color="auto" w:sz="4" w:space="0"/>
              <w:bottom w:val="single" w:color="auto" w:sz="4" w:space="0"/>
              <w:right w:val="single" w:color="auto" w:sz="4" w:space="0"/>
            </w:tcBorders>
            <w:vAlign w:val="center"/>
          </w:tcPr>
          <w:p w14:paraId="1BF45370">
            <w:pPr>
              <w:jc w:val="center"/>
              <w:rPr>
                <w:rFonts w:hint="eastAsia" w:cs="Times New Roman"/>
                <w:sz w:val="18"/>
                <w:szCs w:val="18"/>
              </w:rPr>
            </w:pPr>
            <w:r>
              <w:rPr>
                <w:rFonts w:hint="eastAsia" w:cs="Times New Roman"/>
                <w:sz w:val="18"/>
                <w:szCs w:val="18"/>
              </w:rPr>
              <w:t>0m</w:t>
            </w:r>
          </w:p>
        </w:tc>
        <w:tc>
          <w:tcPr>
            <w:tcW w:w="2345" w:type="pct"/>
            <w:tcBorders>
              <w:top w:val="single" w:color="auto" w:sz="4" w:space="0"/>
              <w:left w:val="single" w:color="auto" w:sz="4" w:space="0"/>
              <w:bottom w:val="single" w:color="auto" w:sz="4" w:space="0"/>
              <w:right w:val="single" w:color="auto" w:sz="4" w:space="0"/>
            </w:tcBorders>
            <w:vAlign w:val="center"/>
          </w:tcPr>
          <w:p w14:paraId="0731C197">
            <w:pPr>
              <w:jc w:val="center"/>
              <w:rPr>
                <w:rFonts w:hint="eastAsia" w:cs="Times New Roman"/>
                <w:sz w:val="18"/>
                <w:szCs w:val="18"/>
              </w:rPr>
            </w:pPr>
          </w:p>
        </w:tc>
        <w:tc>
          <w:tcPr>
            <w:tcW w:w="1025" w:type="pct"/>
            <w:tcBorders>
              <w:top w:val="single" w:color="auto" w:sz="4" w:space="0"/>
              <w:left w:val="single" w:color="auto" w:sz="4" w:space="0"/>
              <w:bottom w:val="single" w:color="auto" w:sz="4" w:space="0"/>
              <w:right w:val="single" w:color="auto" w:sz="4" w:space="0"/>
            </w:tcBorders>
            <w:vAlign w:val="center"/>
          </w:tcPr>
          <w:p w14:paraId="1ADC5F6D">
            <w:pPr>
              <w:jc w:val="center"/>
              <w:rPr>
                <w:rFonts w:hint="eastAsia" w:cs="Times New Roman"/>
                <w:sz w:val="18"/>
                <w:szCs w:val="18"/>
              </w:rPr>
            </w:pPr>
          </w:p>
        </w:tc>
      </w:tr>
      <w:tr w14:paraId="0A7F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8" w:type="pct"/>
            <w:vMerge w:val="continue"/>
            <w:tcBorders>
              <w:left w:val="single" w:color="auto" w:sz="4" w:space="0"/>
              <w:right w:val="single" w:color="auto" w:sz="4" w:space="0"/>
            </w:tcBorders>
            <w:vAlign w:val="center"/>
          </w:tcPr>
          <w:p w14:paraId="70436DBE">
            <w:pPr>
              <w:jc w:val="center"/>
              <w:rPr>
                <w:rFonts w:hint="eastAsia" w:cs="Times New Roman"/>
                <w:sz w:val="18"/>
                <w:szCs w:val="18"/>
              </w:rPr>
            </w:pPr>
          </w:p>
        </w:tc>
        <w:tc>
          <w:tcPr>
            <w:tcW w:w="860" w:type="pct"/>
            <w:tcBorders>
              <w:top w:val="single" w:color="auto" w:sz="4" w:space="0"/>
              <w:left w:val="single" w:color="auto" w:sz="4" w:space="0"/>
              <w:bottom w:val="single" w:color="auto" w:sz="4" w:space="0"/>
              <w:right w:val="single" w:color="auto" w:sz="4" w:space="0"/>
            </w:tcBorders>
            <w:vAlign w:val="center"/>
          </w:tcPr>
          <w:p w14:paraId="65D5F9CC">
            <w:pPr>
              <w:jc w:val="center"/>
              <w:rPr>
                <w:rFonts w:hint="eastAsia" w:cs="Times New Roman"/>
                <w:sz w:val="18"/>
                <w:szCs w:val="18"/>
              </w:rPr>
            </w:pPr>
            <w:r>
              <w:rPr>
                <w:rFonts w:hint="eastAsia" w:cs="Times New Roman"/>
                <w:sz w:val="18"/>
                <w:szCs w:val="18"/>
              </w:rPr>
              <w:t>1000m</w:t>
            </w:r>
          </w:p>
        </w:tc>
        <w:tc>
          <w:tcPr>
            <w:tcW w:w="2345" w:type="pct"/>
            <w:tcBorders>
              <w:top w:val="single" w:color="auto" w:sz="4" w:space="0"/>
              <w:left w:val="single" w:color="auto" w:sz="4" w:space="0"/>
              <w:bottom w:val="single" w:color="auto" w:sz="4" w:space="0"/>
              <w:right w:val="single" w:color="auto" w:sz="4" w:space="0"/>
            </w:tcBorders>
            <w:vAlign w:val="center"/>
          </w:tcPr>
          <w:p w14:paraId="5CDCF6FA">
            <w:pPr>
              <w:jc w:val="center"/>
              <w:rPr>
                <w:rFonts w:hint="eastAsia" w:cs="Times New Roman"/>
                <w:sz w:val="18"/>
                <w:szCs w:val="18"/>
              </w:rPr>
            </w:pPr>
          </w:p>
        </w:tc>
        <w:tc>
          <w:tcPr>
            <w:tcW w:w="1025" w:type="pct"/>
            <w:tcBorders>
              <w:top w:val="single" w:color="auto" w:sz="4" w:space="0"/>
              <w:left w:val="single" w:color="auto" w:sz="4" w:space="0"/>
              <w:bottom w:val="single" w:color="auto" w:sz="4" w:space="0"/>
              <w:right w:val="single" w:color="auto" w:sz="4" w:space="0"/>
            </w:tcBorders>
            <w:vAlign w:val="center"/>
          </w:tcPr>
          <w:p w14:paraId="23FBB5EE">
            <w:pPr>
              <w:jc w:val="center"/>
              <w:rPr>
                <w:rFonts w:hint="eastAsia" w:cs="Times New Roman"/>
                <w:sz w:val="18"/>
                <w:szCs w:val="18"/>
              </w:rPr>
            </w:pPr>
          </w:p>
        </w:tc>
      </w:tr>
      <w:tr w14:paraId="39FA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8" w:type="pct"/>
            <w:vMerge w:val="continue"/>
            <w:tcBorders>
              <w:left w:val="single" w:color="auto" w:sz="4" w:space="0"/>
              <w:right w:val="single" w:color="auto" w:sz="4" w:space="0"/>
            </w:tcBorders>
            <w:vAlign w:val="center"/>
          </w:tcPr>
          <w:p w14:paraId="4C2893F6">
            <w:pPr>
              <w:jc w:val="center"/>
              <w:rPr>
                <w:rFonts w:hint="eastAsia" w:cs="Times New Roman"/>
                <w:sz w:val="18"/>
                <w:szCs w:val="18"/>
              </w:rPr>
            </w:pPr>
          </w:p>
        </w:tc>
        <w:tc>
          <w:tcPr>
            <w:tcW w:w="860" w:type="pct"/>
            <w:tcBorders>
              <w:top w:val="single" w:color="auto" w:sz="4" w:space="0"/>
              <w:left w:val="single" w:color="auto" w:sz="4" w:space="0"/>
              <w:bottom w:val="single" w:color="auto" w:sz="4" w:space="0"/>
              <w:right w:val="single" w:color="auto" w:sz="4" w:space="0"/>
            </w:tcBorders>
            <w:vAlign w:val="center"/>
          </w:tcPr>
          <w:p w14:paraId="4BC11092">
            <w:pPr>
              <w:jc w:val="center"/>
              <w:rPr>
                <w:rFonts w:hint="eastAsia" w:cs="Times New Roman"/>
                <w:sz w:val="18"/>
                <w:szCs w:val="18"/>
              </w:rPr>
            </w:pPr>
            <w:r>
              <w:rPr>
                <w:rFonts w:hint="eastAsia" w:cs="Times New Roman"/>
                <w:sz w:val="18"/>
                <w:szCs w:val="18"/>
              </w:rPr>
              <w:t>2000m</w:t>
            </w:r>
          </w:p>
        </w:tc>
        <w:tc>
          <w:tcPr>
            <w:tcW w:w="2345" w:type="pct"/>
            <w:tcBorders>
              <w:top w:val="single" w:color="auto" w:sz="4" w:space="0"/>
              <w:left w:val="single" w:color="auto" w:sz="4" w:space="0"/>
              <w:bottom w:val="single" w:color="auto" w:sz="4" w:space="0"/>
              <w:right w:val="single" w:color="auto" w:sz="4" w:space="0"/>
            </w:tcBorders>
            <w:vAlign w:val="center"/>
          </w:tcPr>
          <w:p w14:paraId="48A58076">
            <w:pPr>
              <w:jc w:val="center"/>
              <w:rPr>
                <w:rFonts w:hint="eastAsia" w:cs="Times New Roman"/>
                <w:sz w:val="18"/>
                <w:szCs w:val="18"/>
              </w:rPr>
            </w:pPr>
          </w:p>
        </w:tc>
        <w:tc>
          <w:tcPr>
            <w:tcW w:w="1025" w:type="pct"/>
            <w:tcBorders>
              <w:top w:val="single" w:color="auto" w:sz="4" w:space="0"/>
              <w:left w:val="single" w:color="auto" w:sz="4" w:space="0"/>
              <w:bottom w:val="single" w:color="auto" w:sz="4" w:space="0"/>
              <w:right w:val="single" w:color="auto" w:sz="4" w:space="0"/>
            </w:tcBorders>
            <w:vAlign w:val="center"/>
          </w:tcPr>
          <w:p w14:paraId="103E1D64">
            <w:pPr>
              <w:jc w:val="center"/>
              <w:rPr>
                <w:rFonts w:hint="eastAsia" w:cs="Times New Roman"/>
                <w:sz w:val="18"/>
                <w:szCs w:val="18"/>
              </w:rPr>
            </w:pPr>
          </w:p>
        </w:tc>
      </w:tr>
      <w:tr w14:paraId="1D5D1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8" w:type="pct"/>
            <w:vMerge w:val="continue"/>
            <w:tcBorders>
              <w:left w:val="single" w:color="auto" w:sz="4" w:space="0"/>
              <w:right w:val="single" w:color="auto" w:sz="4" w:space="0"/>
            </w:tcBorders>
            <w:vAlign w:val="center"/>
          </w:tcPr>
          <w:p w14:paraId="4EEC2DCF">
            <w:pPr>
              <w:jc w:val="center"/>
              <w:rPr>
                <w:rFonts w:hint="eastAsia" w:cs="Times New Roman"/>
                <w:sz w:val="18"/>
                <w:szCs w:val="18"/>
              </w:rPr>
            </w:pPr>
          </w:p>
        </w:tc>
        <w:tc>
          <w:tcPr>
            <w:tcW w:w="860" w:type="pct"/>
            <w:tcBorders>
              <w:top w:val="single" w:color="auto" w:sz="4" w:space="0"/>
              <w:left w:val="single" w:color="auto" w:sz="4" w:space="0"/>
              <w:bottom w:val="single" w:color="auto" w:sz="4" w:space="0"/>
              <w:right w:val="single" w:color="auto" w:sz="4" w:space="0"/>
            </w:tcBorders>
            <w:vAlign w:val="center"/>
          </w:tcPr>
          <w:p w14:paraId="55A64719">
            <w:pPr>
              <w:jc w:val="center"/>
              <w:rPr>
                <w:rFonts w:hint="eastAsia" w:cs="Times New Roman"/>
                <w:sz w:val="18"/>
                <w:szCs w:val="18"/>
              </w:rPr>
            </w:pPr>
            <w:r>
              <w:rPr>
                <w:rFonts w:hint="eastAsia" w:cs="Times New Roman"/>
                <w:sz w:val="18"/>
                <w:szCs w:val="18"/>
              </w:rPr>
              <w:t>3000m</w:t>
            </w:r>
          </w:p>
        </w:tc>
        <w:tc>
          <w:tcPr>
            <w:tcW w:w="2345" w:type="pct"/>
            <w:tcBorders>
              <w:top w:val="single" w:color="auto" w:sz="4" w:space="0"/>
              <w:left w:val="single" w:color="auto" w:sz="4" w:space="0"/>
              <w:bottom w:val="single" w:color="auto" w:sz="4" w:space="0"/>
              <w:right w:val="single" w:color="auto" w:sz="4" w:space="0"/>
            </w:tcBorders>
            <w:vAlign w:val="center"/>
          </w:tcPr>
          <w:p w14:paraId="67026F4F">
            <w:pPr>
              <w:jc w:val="center"/>
              <w:rPr>
                <w:rFonts w:hint="eastAsia" w:cs="Times New Roman"/>
                <w:sz w:val="18"/>
                <w:szCs w:val="18"/>
              </w:rPr>
            </w:pPr>
          </w:p>
        </w:tc>
        <w:tc>
          <w:tcPr>
            <w:tcW w:w="1025" w:type="pct"/>
            <w:tcBorders>
              <w:top w:val="single" w:color="auto" w:sz="4" w:space="0"/>
              <w:left w:val="single" w:color="auto" w:sz="4" w:space="0"/>
              <w:bottom w:val="single" w:color="auto" w:sz="4" w:space="0"/>
              <w:right w:val="single" w:color="auto" w:sz="4" w:space="0"/>
            </w:tcBorders>
            <w:vAlign w:val="center"/>
          </w:tcPr>
          <w:p w14:paraId="637512BF">
            <w:pPr>
              <w:jc w:val="center"/>
              <w:rPr>
                <w:rFonts w:hint="eastAsia" w:cs="Times New Roman"/>
                <w:sz w:val="18"/>
                <w:szCs w:val="18"/>
              </w:rPr>
            </w:pPr>
          </w:p>
        </w:tc>
      </w:tr>
      <w:tr w14:paraId="5D46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8" w:type="pct"/>
            <w:vMerge w:val="continue"/>
            <w:tcBorders>
              <w:left w:val="single" w:color="auto" w:sz="4" w:space="0"/>
              <w:right w:val="single" w:color="auto" w:sz="4" w:space="0"/>
            </w:tcBorders>
            <w:vAlign w:val="center"/>
          </w:tcPr>
          <w:p w14:paraId="181D2E08">
            <w:pPr>
              <w:jc w:val="center"/>
              <w:rPr>
                <w:rFonts w:hint="eastAsia" w:cs="Times New Roman"/>
                <w:sz w:val="18"/>
                <w:szCs w:val="18"/>
              </w:rPr>
            </w:pPr>
          </w:p>
        </w:tc>
        <w:tc>
          <w:tcPr>
            <w:tcW w:w="860" w:type="pct"/>
            <w:tcBorders>
              <w:top w:val="single" w:color="auto" w:sz="4" w:space="0"/>
              <w:left w:val="single" w:color="auto" w:sz="4" w:space="0"/>
              <w:bottom w:val="single" w:color="auto" w:sz="4" w:space="0"/>
              <w:right w:val="single" w:color="auto" w:sz="4" w:space="0"/>
            </w:tcBorders>
            <w:vAlign w:val="center"/>
          </w:tcPr>
          <w:p w14:paraId="327BB675">
            <w:pPr>
              <w:jc w:val="center"/>
              <w:rPr>
                <w:rFonts w:hint="eastAsia" w:cs="Times New Roman"/>
                <w:sz w:val="18"/>
                <w:szCs w:val="18"/>
              </w:rPr>
            </w:pPr>
            <w:r>
              <w:rPr>
                <w:rFonts w:hint="eastAsia" w:cs="Times New Roman"/>
                <w:sz w:val="18"/>
                <w:szCs w:val="18"/>
              </w:rPr>
              <w:t>4000m</w:t>
            </w:r>
          </w:p>
        </w:tc>
        <w:tc>
          <w:tcPr>
            <w:tcW w:w="2345" w:type="pct"/>
            <w:tcBorders>
              <w:top w:val="single" w:color="auto" w:sz="4" w:space="0"/>
              <w:left w:val="single" w:color="auto" w:sz="4" w:space="0"/>
              <w:bottom w:val="single" w:color="auto" w:sz="4" w:space="0"/>
              <w:right w:val="single" w:color="auto" w:sz="4" w:space="0"/>
            </w:tcBorders>
            <w:vAlign w:val="center"/>
          </w:tcPr>
          <w:p w14:paraId="4F138044">
            <w:pPr>
              <w:jc w:val="center"/>
              <w:rPr>
                <w:rFonts w:hint="eastAsia" w:cs="Times New Roman"/>
                <w:sz w:val="18"/>
                <w:szCs w:val="18"/>
              </w:rPr>
            </w:pPr>
          </w:p>
        </w:tc>
        <w:tc>
          <w:tcPr>
            <w:tcW w:w="1025" w:type="pct"/>
            <w:tcBorders>
              <w:top w:val="single" w:color="auto" w:sz="4" w:space="0"/>
              <w:left w:val="single" w:color="auto" w:sz="4" w:space="0"/>
              <w:bottom w:val="single" w:color="auto" w:sz="4" w:space="0"/>
              <w:right w:val="single" w:color="auto" w:sz="4" w:space="0"/>
            </w:tcBorders>
            <w:vAlign w:val="center"/>
          </w:tcPr>
          <w:p w14:paraId="3A2CA1C5">
            <w:pPr>
              <w:jc w:val="center"/>
              <w:rPr>
                <w:rFonts w:hint="eastAsia" w:cs="Times New Roman"/>
                <w:sz w:val="18"/>
                <w:szCs w:val="18"/>
              </w:rPr>
            </w:pPr>
          </w:p>
        </w:tc>
      </w:tr>
      <w:tr w14:paraId="5787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768" w:type="pct"/>
            <w:vMerge w:val="continue"/>
            <w:tcBorders>
              <w:left w:val="single" w:color="auto" w:sz="4" w:space="0"/>
              <w:bottom w:val="single" w:color="auto" w:sz="4" w:space="0"/>
              <w:right w:val="single" w:color="auto" w:sz="4" w:space="0"/>
            </w:tcBorders>
            <w:vAlign w:val="center"/>
          </w:tcPr>
          <w:p w14:paraId="030F2D1F">
            <w:pPr>
              <w:jc w:val="center"/>
              <w:rPr>
                <w:rFonts w:hint="eastAsia" w:cs="Times New Roman"/>
                <w:sz w:val="18"/>
                <w:szCs w:val="18"/>
              </w:rPr>
            </w:pPr>
          </w:p>
        </w:tc>
        <w:tc>
          <w:tcPr>
            <w:tcW w:w="860" w:type="pct"/>
            <w:tcBorders>
              <w:top w:val="single" w:color="auto" w:sz="4" w:space="0"/>
              <w:left w:val="single" w:color="auto" w:sz="4" w:space="0"/>
              <w:bottom w:val="single" w:color="auto" w:sz="4" w:space="0"/>
              <w:right w:val="single" w:color="auto" w:sz="4" w:space="0"/>
            </w:tcBorders>
            <w:vAlign w:val="center"/>
          </w:tcPr>
          <w:p w14:paraId="7842A72B">
            <w:pPr>
              <w:jc w:val="center"/>
              <w:rPr>
                <w:rFonts w:hint="eastAsia" w:cs="Times New Roman"/>
                <w:sz w:val="18"/>
                <w:szCs w:val="18"/>
              </w:rPr>
            </w:pPr>
            <w:r>
              <w:rPr>
                <w:rFonts w:hint="eastAsia" w:cs="Times New Roman"/>
                <w:sz w:val="18"/>
                <w:szCs w:val="18"/>
              </w:rPr>
              <w:t>5000m</w:t>
            </w:r>
          </w:p>
        </w:tc>
        <w:tc>
          <w:tcPr>
            <w:tcW w:w="2345" w:type="pct"/>
            <w:tcBorders>
              <w:top w:val="single" w:color="auto" w:sz="4" w:space="0"/>
              <w:left w:val="single" w:color="auto" w:sz="4" w:space="0"/>
              <w:bottom w:val="single" w:color="auto" w:sz="4" w:space="0"/>
              <w:right w:val="single" w:color="auto" w:sz="4" w:space="0"/>
            </w:tcBorders>
            <w:vAlign w:val="center"/>
          </w:tcPr>
          <w:p w14:paraId="30142392">
            <w:pPr>
              <w:jc w:val="center"/>
              <w:rPr>
                <w:rFonts w:hint="eastAsia" w:cs="Times New Roman"/>
                <w:sz w:val="18"/>
                <w:szCs w:val="18"/>
              </w:rPr>
            </w:pPr>
          </w:p>
        </w:tc>
        <w:tc>
          <w:tcPr>
            <w:tcW w:w="1025" w:type="pct"/>
            <w:tcBorders>
              <w:top w:val="single" w:color="auto" w:sz="4" w:space="0"/>
              <w:left w:val="single" w:color="auto" w:sz="4" w:space="0"/>
              <w:bottom w:val="single" w:color="auto" w:sz="4" w:space="0"/>
              <w:right w:val="single" w:color="auto" w:sz="4" w:space="0"/>
            </w:tcBorders>
            <w:vAlign w:val="center"/>
          </w:tcPr>
          <w:p w14:paraId="0FA567B1">
            <w:pPr>
              <w:jc w:val="center"/>
              <w:rPr>
                <w:rFonts w:hint="eastAsia" w:cs="Times New Roman"/>
                <w:sz w:val="18"/>
                <w:szCs w:val="18"/>
              </w:rPr>
            </w:pPr>
          </w:p>
        </w:tc>
      </w:tr>
    </w:tbl>
    <w:p w14:paraId="0A44D268">
      <w:pPr>
        <w:pStyle w:val="40"/>
        <w:rPr>
          <w:rFonts w:hint="eastAsia"/>
        </w:rPr>
      </w:pPr>
      <w:bookmarkStart w:id="54" w:name="_Toc19143"/>
      <w:r>
        <w:rPr>
          <w:rFonts w:hint="eastAsia"/>
        </w:rPr>
        <w:t>5.1.2　涡轮增压器废气旁通装置调整方法</w:t>
      </w:r>
      <w:bookmarkEnd w:id="54"/>
    </w:p>
    <w:p w14:paraId="0D48A16C">
      <w:pPr>
        <w:pStyle w:val="25"/>
        <w:ind w:firstLine="420"/>
        <w:rPr>
          <w:rFonts w:hint="eastAsia"/>
        </w:rPr>
      </w:pPr>
      <w:r>
        <w:rPr>
          <w:rFonts w:hint="eastAsia"/>
        </w:rPr>
        <w:t>采用进排气海拔模拟发动机进排气压力，涡轮增压器控制阀压气机端与大气环境端压力不一致，影响废气旁通阀的开启。可通过在涡轮增压器废气旁通执行器大气环境端腔体上引出两个接口，一端接入进排气海拔模拟中，抵消腔体两端压力差，另外一端用于检测大气环境端腔体压力，保证大气环境端腔体压力与海拔模拟系统压力差＜2kPa，保证废弃旁通阀在进行各个模拟海拔高度试验时能够按照正常开度开启。压气机端密封性要求参照JB/T 11325-2013执行调整示意图见图1。</w:t>
      </w:r>
    </w:p>
    <w:p w14:paraId="36656435">
      <w:pPr>
        <w:pStyle w:val="25"/>
        <w:ind w:firstLine="0" w:firstLineChars="0"/>
        <w:jc w:val="center"/>
        <w:rPr>
          <w:rFonts w:hint="eastAsia"/>
        </w:rPr>
      </w:pPr>
      <w:r>
        <w:drawing>
          <wp:inline distT="0" distB="0" distL="114300" distR="114300">
            <wp:extent cx="2047875" cy="1289050"/>
            <wp:effectExtent l="0" t="0" r="9525" b="635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28">
                      <a:grayscl/>
                    </a:blip>
                    <a:srcRect b="26125"/>
                    <a:stretch>
                      <a:fillRect/>
                    </a:stretch>
                  </pic:blipFill>
                  <pic:spPr>
                    <a:xfrm>
                      <a:off x="0" y="0"/>
                      <a:ext cx="2047875" cy="1289050"/>
                    </a:xfrm>
                    <a:prstGeom prst="rect">
                      <a:avLst/>
                    </a:prstGeom>
                    <a:noFill/>
                    <a:ln>
                      <a:noFill/>
                    </a:ln>
                  </pic:spPr>
                </pic:pic>
              </a:graphicData>
            </a:graphic>
          </wp:inline>
        </w:drawing>
      </w:r>
    </w:p>
    <w:p w14:paraId="6AC21307">
      <w:pPr>
        <w:spacing w:line="360" w:lineRule="auto"/>
        <w:ind w:firstLine="420" w:firstLineChars="200"/>
        <w:jc w:val="center"/>
        <w:rPr>
          <w:rFonts w:hint="eastAsia" w:cs="Times New Roman"/>
          <w:kern w:val="0"/>
          <w:szCs w:val="21"/>
        </w:rPr>
      </w:pPr>
      <w:r>
        <w:rPr>
          <w:rFonts w:hint="eastAsia" w:cs="Times New Roman"/>
          <w:kern w:val="0"/>
          <w:szCs w:val="21"/>
        </w:rPr>
        <w:t>图1  改造示意图</w:t>
      </w:r>
    </w:p>
    <w:p w14:paraId="3260E237">
      <w:pPr>
        <w:pStyle w:val="40"/>
        <w:rPr>
          <w:rFonts w:hint="eastAsia"/>
        </w:rPr>
      </w:pPr>
      <w:bookmarkStart w:id="55" w:name="_Toc8031"/>
      <w:r>
        <w:rPr>
          <w:rFonts w:hint="eastAsia"/>
        </w:rPr>
        <w:t>5.1.3　其他调整方式</w:t>
      </w:r>
      <w:bookmarkEnd w:id="55"/>
    </w:p>
    <w:p w14:paraId="49D31652">
      <w:pPr>
        <w:pStyle w:val="25"/>
        <w:ind w:firstLine="420"/>
        <w:rPr>
          <w:rFonts w:hint="eastAsia"/>
        </w:rPr>
      </w:pPr>
      <w:r>
        <w:rPr>
          <w:rFonts w:hint="eastAsia"/>
        </w:rPr>
        <w:t>以上两种调整方法为通用性的方法，采用其他可将涡轮增压器调整到与实际海拔测试状态的方法均可。对于采用电子增压器可不需对增压器进行调整。</w:t>
      </w:r>
    </w:p>
    <w:p w14:paraId="420C266C">
      <w:pPr>
        <w:pStyle w:val="38"/>
        <w:rPr>
          <w:rFonts w:hint="eastAsia"/>
        </w:rPr>
      </w:pPr>
      <w:bookmarkStart w:id="56" w:name="_Toc9806"/>
      <w:r>
        <w:rPr>
          <w:rFonts w:hint="eastAsia"/>
        </w:rPr>
        <w:t>5.2  曲轴箱压力适应性调整要求</w:t>
      </w:r>
      <w:bookmarkEnd w:id="56"/>
    </w:p>
    <w:p w14:paraId="672AE6E2">
      <w:pPr>
        <w:pStyle w:val="25"/>
        <w:ind w:firstLine="420"/>
        <w:rPr>
          <w:rFonts w:hint="eastAsia"/>
        </w:rPr>
      </w:pPr>
      <w:r>
        <w:t>在进排气海拔模拟试验中，发动机进气侧施加正压、排气侧抽负压导致曲轴箱内外形成压差，影响曲轴箱通风系统正常工作，引发机油泄漏或通风失效。将曲轴箱与</w:t>
      </w:r>
      <w:r>
        <w:rPr>
          <w:rFonts w:hint="eastAsia"/>
        </w:rPr>
        <w:t>进排气海拔</w:t>
      </w:r>
      <w:r>
        <w:t>模拟进行压力匹配</w:t>
      </w:r>
      <w:r>
        <w:rPr>
          <w:rFonts w:hint="eastAsia"/>
        </w:rPr>
        <w:t>。曲轴箱与进排气海拔模拟管路连接管路中间安装油气分离器，防止过多机油进入进排气管路中。曲轴箱通风调整示意图见图2。</w:t>
      </w:r>
    </w:p>
    <w:p w14:paraId="73E84A49">
      <w:pPr>
        <w:pStyle w:val="25"/>
        <w:tabs>
          <w:tab w:val="center" w:pos="4201"/>
          <w:tab w:val="right" w:leader="dot" w:pos="9298"/>
        </w:tabs>
        <w:ind w:firstLine="420"/>
        <w:jc w:val="center"/>
        <w:rPr>
          <w:rFonts w:hint="eastAsia"/>
          <w:highlight w:val="yellow"/>
        </w:rPr>
      </w:pPr>
      <w:r>
        <w:drawing>
          <wp:inline distT="0" distB="0" distL="114300" distR="114300">
            <wp:extent cx="2352675" cy="1532890"/>
            <wp:effectExtent l="0" t="0" r="9525" b="381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
                    <pic:cNvPicPr>
                      <a:picLocks noChangeAspect="1"/>
                    </pic:cNvPicPr>
                  </pic:nvPicPr>
                  <pic:blipFill>
                    <a:blip r:embed="rId29"/>
                    <a:stretch>
                      <a:fillRect/>
                    </a:stretch>
                  </pic:blipFill>
                  <pic:spPr>
                    <a:xfrm>
                      <a:off x="0" y="0"/>
                      <a:ext cx="2352675" cy="1532890"/>
                    </a:xfrm>
                    <a:prstGeom prst="rect">
                      <a:avLst/>
                    </a:prstGeom>
                    <a:noFill/>
                    <a:ln>
                      <a:noFill/>
                    </a:ln>
                  </pic:spPr>
                </pic:pic>
              </a:graphicData>
            </a:graphic>
          </wp:inline>
        </w:drawing>
      </w:r>
    </w:p>
    <w:p w14:paraId="3176B8B9">
      <w:pPr>
        <w:pStyle w:val="25"/>
        <w:tabs>
          <w:tab w:val="center" w:pos="4201"/>
          <w:tab w:val="right" w:leader="dot" w:pos="9298"/>
        </w:tabs>
        <w:ind w:firstLine="420"/>
        <w:jc w:val="center"/>
        <w:rPr>
          <w:rFonts w:hint="eastAsia"/>
          <w:szCs w:val="21"/>
        </w:rPr>
      </w:pPr>
      <w:r>
        <w:rPr>
          <w:rFonts w:hint="eastAsia"/>
          <w:szCs w:val="21"/>
        </w:rPr>
        <w:t>图2  曲轴箱通风示意图</w:t>
      </w:r>
    </w:p>
    <w:p w14:paraId="329961C2">
      <w:pPr>
        <w:pStyle w:val="38"/>
        <w:rPr>
          <w:rFonts w:hint="eastAsia"/>
        </w:rPr>
      </w:pPr>
      <w:bookmarkStart w:id="57" w:name="_Toc23432"/>
      <w:r>
        <w:rPr>
          <w:rFonts w:hint="eastAsia"/>
        </w:rPr>
        <w:t>5.3  发动机进排气管路适应性调整要求</w:t>
      </w:r>
      <w:bookmarkEnd w:id="57"/>
    </w:p>
    <w:p w14:paraId="41480D11">
      <w:pPr>
        <w:pStyle w:val="25"/>
        <w:ind w:firstLine="420"/>
        <w:rPr>
          <w:rFonts w:hint="eastAsia"/>
        </w:rPr>
      </w:pPr>
      <w:r>
        <w:rPr>
          <w:rFonts w:hint="eastAsia"/>
        </w:rPr>
        <w:t>发动机进排气管路应具备良好的密封性与足够的结构强度，满足不同海拔模拟工况下的进气排气环境要求。进气管路应避免长距离弯曲和节流瓶颈，确保气流均匀稳定。排气管路材料应耐温、耐压、抗老化，关键连接部位应采用法兰或快接接头，便于拆装与密封维护。对于进排气海拔模拟测试，需要在不同管路位置设置压力与温度测点，便于实时监控边界条件，保证测试准确性，保证进排气管路压力与设置海拔压力偏差在±2kPa以内。</w:t>
      </w:r>
    </w:p>
    <w:p w14:paraId="042A2ADC">
      <w:pPr>
        <w:pStyle w:val="38"/>
        <w:rPr>
          <w:rFonts w:hint="eastAsia"/>
        </w:rPr>
      </w:pPr>
      <w:bookmarkStart w:id="58" w:name="_Toc5430"/>
      <w:r>
        <w:rPr>
          <w:rFonts w:hint="eastAsia"/>
        </w:rPr>
        <w:t>5.4  试验设备适应性调整要求</w:t>
      </w:r>
      <w:bookmarkEnd w:id="58"/>
    </w:p>
    <w:p w14:paraId="60BAD9B1">
      <w:pPr>
        <w:pStyle w:val="25"/>
        <w:ind w:firstLine="420"/>
        <w:rPr>
          <w:rFonts w:hint="eastAsia"/>
        </w:rPr>
      </w:pPr>
      <w:r>
        <w:rPr>
          <w:rFonts w:hint="eastAsia"/>
        </w:rPr>
        <w:t>进行发动机不同海拔的进排气海拔模拟测试需对测试相关设备进行适应性调整，确保设备能在模拟不同海拔试验时可正常采样且可保障测试结果的准确性。</w:t>
      </w:r>
    </w:p>
    <w:p w14:paraId="7B3E35BC">
      <w:pPr>
        <w:pStyle w:val="38"/>
        <w:rPr>
          <w:rFonts w:hint="eastAsia"/>
        </w:rPr>
      </w:pPr>
      <w:bookmarkStart w:id="59" w:name="_Toc30155"/>
      <w:r>
        <w:rPr>
          <w:rFonts w:hint="eastAsia"/>
        </w:rPr>
        <w:t>5.5  测试边界条件适应性调整要求</w:t>
      </w:r>
      <w:bookmarkEnd w:id="59"/>
    </w:p>
    <w:p w14:paraId="33F37EFA">
      <w:pPr>
        <w:pStyle w:val="25"/>
        <w:ind w:firstLine="420"/>
        <w:rPr>
          <w:rFonts w:hint="eastAsia"/>
        </w:rPr>
        <w:sectPr>
          <w:headerReference r:id="rId17" w:type="first"/>
          <w:footerReference r:id="rId20" w:type="first"/>
          <w:headerReference r:id="rId15" w:type="default"/>
          <w:footerReference r:id="rId18" w:type="default"/>
          <w:headerReference r:id="rId16" w:type="even"/>
          <w:footerReference r:id="rId19" w:type="even"/>
          <w:pgSz w:w="11906" w:h="16838"/>
          <w:pgMar w:top="1418" w:right="1134" w:bottom="1134" w:left="1418" w:header="1417" w:footer="1134" w:gutter="0"/>
          <w:pgNumType w:start="1"/>
          <w:cols w:space="425" w:num="1"/>
          <w:titlePg/>
          <w:docGrid w:type="lines" w:linePitch="312" w:charSpace="0"/>
        </w:sectPr>
      </w:pPr>
      <w:r>
        <w:rPr>
          <w:rFonts w:hint="eastAsia"/>
        </w:rPr>
        <w:t>采用进排气海拔模拟进行发动机不同海拔测试时，边界条件存在差异。需对发动机不同海拔测试的边界条件适应性调整，具体可参照 T/CSICE 002-2023 附录B的相关规定执行。</w:t>
      </w:r>
    </w:p>
    <w:p w14:paraId="6D92BBD2">
      <w:pPr>
        <w:pStyle w:val="54"/>
        <w:rPr>
          <w:rFonts w:hint="eastAsia" w:ascii="黑体" w:hAnsi="黑体" w:eastAsia="黑体"/>
          <w:sz w:val="21"/>
          <w:szCs w:val="21"/>
        </w:rPr>
      </w:pPr>
      <w:bookmarkStart w:id="60" w:name="_Toc7710"/>
      <w:r>
        <w:rPr>
          <w:rFonts w:hint="eastAsia"/>
        </w:rPr>
        <w:t>附　录　A</w:t>
      </w:r>
      <w:r>
        <w:rPr>
          <w:rFonts w:hint="eastAsia"/>
        </w:rPr>
        <w:br w:type="textWrapping"/>
      </w:r>
      <w:r>
        <w:rPr>
          <w:rFonts w:hint="eastAsia" w:ascii="黑体" w:hAnsi="黑体" w:eastAsia="黑体"/>
          <w:sz w:val="21"/>
          <w:szCs w:val="21"/>
        </w:rPr>
        <w:t>（规范性）</w:t>
      </w:r>
      <w:r>
        <w:rPr>
          <w:rFonts w:hint="eastAsia"/>
          <w:sz w:val="21"/>
          <w:szCs w:val="21"/>
        </w:rPr>
        <w:br w:type="textWrapping"/>
      </w:r>
      <w:r>
        <w:rPr>
          <w:rFonts w:hint="eastAsia" w:ascii="黑体" w:hAnsi="黑体" w:eastAsia="黑体"/>
          <w:sz w:val="21"/>
          <w:szCs w:val="21"/>
        </w:rPr>
        <w:t>注意事项</w:t>
      </w:r>
      <w:bookmarkEnd w:id="60"/>
    </w:p>
    <w:p w14:paraId="313C4F11">
      <w:pPr>
        <w:rPr>
          <w:rStyle w:val="21"/>
          <w:rFonts w:hint="eastAsia" w:cs="宋体"/>
          <w:b w:val="0"/>
          <w:bCs/>
          <w:color w:val="404040"/>
          <w:szCs w:val="21"/>
        </w:rPr>
      </w:pPr>
    </w:p>
    <w:p w14:paraId="71B208AD">
      <w:pPr>
        <w:spacing w:before="156" w:beforeLines="50" w:after="156" w:afterLines="50"/>
        <w:rPr>
          <w:rFonts w:hint="eastAsia" w:ascii="黑体" w:hAnsi="黑体" w:eastAsia="黑体" w:cs="黑体"/>
          <w:color w:val="000000"/>
          <w:szCs w:val="21"/>
        </w:rPr>
      </w:pPr>
      <w:r>
        <w:rPr>
          <w:rFonts w:hint="eastAsia" w:ascii="黑体" w:hAnsi="黑体" w:eastAsia="黑体" w:cs="黑体"/>
          <w:color w:val="000000"/>
          <w:szCs w:val="21"/>
        </w:rPr>
        <w:t>A.1  机械安全</w:t>
      </w:r>
    </w:p>
    <w:p w14:paraId="5603DC51">
      <w:pPr>
        <w:spacing w:before="156" w:beforeLines="50" w:after="156" w:afterLines="50"/>
        <w:ind w:firstLine="420" w:firstLineChars="200"/>
        <w:rPr>
          <w:rFonts w:hint="eastAsia"/>
        </w:rPr>
      </w:pPr>
      <w:r>
        <w:rPr>
          <w:rFonts w:hint="eastAsia" w:ascii="Calibri" w:hAnsi="Calibri" w:cs="Times New Roman"/>
          <w:color w:val="000000" w:themeColor="text1"/>
          <w:szCs w:val="21"/>
          <w14:textFill>
            <w14:solidFill>
              <w14:schemeClr w14:val="tx1"/>
            </w14:solidFill>
          </w14:textFill>
        </w:rPr>
        <w:t>发动机台架安装，做好紧固件安全状态标志，每次试验前做好点检，确保发动机各部件都处于安全连接状态。</w:t>
      </w:r>
    </w:p>
    <w:p w14:paraId="6D27F8D9">
      <w:pPr>
        <w:spacing w:before="156" w:beforeLines="50" w:after="156" w:afterLines="50"/>
        <w:rPr>
          <w:rFonts w:hint="eastAsia" w:ascii="黑体" w:hAnsi="黑体" w:eastAsia="黑体" w:cs="黑体"/>
          <w:color w:val="000000"/>
          <w:szCs w:val="21"/>
        </w:rPr>
      </w:pPr>
      <w:r>
        <w:rPr>
          <w:rFonts w:hint="eastAsia" w:ascii="黑体" w:hAnsi="黑体" w:eastAsia="黑体" w:cs="黑体"/>
          <w:color w:val="000000"/>
          <w:szCs w:val="21"/>
        </w:rPr>
        <w:t>A.2  碳平衡监测</w:t>
      </w:r>
    </w:p>
    <w:p w14:paraId="31828C7A">
      <w:pPr>
        <w:ind w:firstLine="420" w:firstLineChars="200"/>
        <w:rPr>
          <w:rFonts w:hint="eastAsia"/>
        </w:rPr>
      </w:pPr>
      <w:r>
        <w:rPr>
          <w:rFonts w:hint="eastAsia"/>
        </w:rPr>
        <w:t>在模拟不同海拔发动机测试时，需对发动机台架的碳平衡进行实时监测，并设置±3%报警值，确保试验过程中进排气管路的密封性，保证模拟海拔试验正常开展。</w:t>
      </w:r>
    </w:p>
    <w:p w14:paraId="7853F0AB">
      <w:pPr>
        <w:spacing w:before="156" w:beforeLines="50" w:after="156" w:afterLines="50"/>
        <w:rPr>
          <w:rFonts w:hint="eastAsia" w:ascii="黑体" w:hAnsi="黑体" w:eastAsia="黑体" w:cs="黑体"/>
          <w:color w:val="000000"/>
          <w:szCs w:val="21"/>
        </w:rPr>
      </w:pPr>
      <w:r>
        <w:rPr>
          <w:rFonts w:hint="eastAsia" w:ascii="黑体" w:hAnsi="黑体" w:eastAsia="黑体" w:cs="黑体"/>
          <w:color w:val="000000"/>
          <w:szCs w:val="21"/>
        </w:rPr>
        <w:t>A.3  曲轴箱压力</w:t>
      </w:r>
    </w:p>
    <w:p w14:paraId="4744D3D8">
      <w:pPr>
        <w:ind w:firstLine="420" w:firstLineChars="200"/>
        <w:rPr>
          <w:rFonts w:hint="eastAsia"/>
        </w:rPr>
      </w:pPr>
      <w:r>
        <w:rPr>
          <w:rFonts w:hint="eastAsia"/>
        </w:rPr>
        <w:t>曲轴箱压力为模拟压力，为保证试验正常，需实时监测曲轴箱压力并设置停机限值，另外曲轴箱通风管接入进排气海拔模拟管路需安装油气分离器，避免过多机油进入进排气管路中。</w:t>
      </w:r>
    </w:p>
    <w:p w14:paraId="0D3EB289">
      <w:pPr>
        <w:pStyle w:val="54"/>
        <w:rPr>
          <w:rFonts w:hint="eastAsia" w:ascii="黑体" w:hAnsi="黑体" w:eastAsia="黑体"/>
          <w:sz w:val="21"/>
          <w:szCs w:val="21"/>
        </w:rPr>
      </w:pPr>
      <w:bookmarkStart w:id="61" w:name="_Toc11812"/>
      <w:r>
        <w:rPr>
          <w:rFonts w:hint="eastAsia"/>
        </w:rPr>
        <w:t>附　录　B</w:t>
      </w:r>
      <w:r>
        <w:rPr>
          <w:rFonts w:hint="eastAsia"/>
        </w:rPr>
        <w:br w:type="textWrapping"/>
      </w:r>
      <w:r>
        <w:rPr>
          <w:rFonts w:hint="eastAsia" w:ascii="黑体" w:hAnsi="黑体" w:eastAsia="黑体"/>
          <w:sz w:val="21"/>
          <w:szCs w:val="21"/>
        </w:rPr>
        <w:t>（资料性）</w:t>
      </w:r>
      <w:r>
        <w:rPr>
          <w:rFonts w:hint="eastAsia"/>
          <w:sz w:val="21"/>
          <w:szCs w:val="21"/>
        </w:rPr>
        <w:br w:type="textWrapping"/>
      </w:r>
      <w:r>
        <w:rPr>
          <w:rFonts w:hint="eastAsia" w:ascii="黑体" w:hAnsi="黑体" w:eastAsia="黑体"/>
          <w:sz w:val="21"/>
          <w:szCs w:val="21"/>
        </w:rPr>
        <w:t>进排气海拔模拟工作原理与构成</w:t>
      </w:r>
      <w:bookmarkEnd w:id="61"/>
    </w:p>
    <w:p w14:paraId="3953F235">
      <w:pPr>
        <w:rPr>
          <w:rStyle w:val="21"/>
          <w:rFonts w:hint="eastAsia" w:cs="宋体"/>
          <w:b w:val="0"/>
          <w:bCs/>
          <w:color w:val="404040"/>
          <w:szCs w:val="21"/>
        </w:rPr>
      </w:pPr>
    </w:p>
    <w:p w14:paraId="647FBD2F">
      <w:pPr>
        <w:spacing w:before="156" w:beforeLines="50" w:after="156" w:afterLines="50"/>
        <w:rPr>
          <w:rFonts w:hint="eastAsia"/>
        </w:rPr>
      </w:pPr>
      <w:r>
        <w:rPr>
          <w:rFonts w:hint="eastAsia" w:ascii="黑体" w:hAnsi="黑体" w:eastAsia="黑体" w:cs="黑体"/>
          <w:color w:val="000000"/>
          <w:szCs w:val="21"/>
        </w:rPr>
        <w:t>B.1  进排气海拔模拟工作原理</w:t>
      </w:r>
    </w:p>
    <w:p w14:paraId="13899D6D">
      <w:pPr>
        <w:pStyle w:val="25"/>
        <w:ind w:firstLine="420"/>
        <w:rPr>
          <w:rFonts w:hint="eastAsia"/>
        </w:rPr>
      </w:pPr>
      <w:r>
        <w:rPr>
          <w:rFonts w:hint="eastAsia"/>
        </w:rPr>
        <w:t>进排气海拔模拟通过控制发动机的进气和排气的压力来模拟发动机不同海拔下的环境条件，发动机进排气海拔模拟测试原理图如图1所示，通过模拟发动机进气系统入口和排气系统出口空气压力达到等效模拟发动机所处海拔的目的，进气条件控制单元对发动机进气压力管路进行加压模拟，而排气控制单元对排气管路抽负压，并通过将进气管路与排气管路连通，实现进气压力与排气压力联动，同时通过进排气管路的流量调节阀实现模拟压力的精确调整，使发动机在变工况下进排气压力稳定。通过将进排气海拔模拟系统、测功机、排放测试系统等相关设备集成至发动机台架主控系统，完成整个发动机进排气海拔模拟测试台架搭建。</w:t>
      </w:r>
    </w:p>
    <w:p w14:paraId="216920E9">
      <w:pPr>
        <w:widowControl/>
        <w:spacing w:line="360" w:lineRule="auto"/>
        <w:jc w:val="center"/>
        <w:rPr>
          <w:rFonts w:ascii="Arial" w:hAnsi="Arial" w:cs="微软雅黑"/>
          <w:kern w:val="0"/>
          <w:sz w:val="20"/>
          <w:szCs w:val="20"/>
          <w:lang w:bidi="en-US"/>
        </w:rPr>
      </w:pPr>
      <w:bookmarkStart w:id="62" w:name="_Toc17438"/>
      <w:r>
        <w:rPr>
          <w:rFonts w:hint="eastAsia" w:ascii="Arial" w:hAnsi="Arial" w:cs="微软雅黑"/>
          <w:kern w:val="0"/>
          <w:sz w:val="20"/>
          <w:szCs w:val="20"/>
          <w:lang w:bidi="en-US"/>
        </w:rPr>
        <w:drawing>
          <wp:inline distT="0" distB="0" distL="114300" distR="114300">
            <wp:extent cx="2774950" cy="1496060"/>
            <wp:effectExtent l="0" t="0" r="635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0"/>
                    <a:stretch>
                      <a:fillRect/>
                    </a:stretch>
                  </pic:blipFill>
                  <pic:spPr>
                    <a:xfrm>
                      <a:off x="0" y="0"/>
                      <a:ext cx="2774950" cy="1496060"/>
                    </a:xfrm>
                    <a:prstGeom prst="rect">
                      <a:avLst/>
                    </a:prstGeom>
                    <a:noFill/>
                    <a:ln>
                      <a:noFill/>
                    </a:ln>
                  </pic:spPr>
                </pic:pic>
              </a:graphicData>
            </a:graphic>
          </wp:inline>
        </w:drawing>
      </w:r>
      <w:bookmarkEnd w:id="62"/>
    </w:p>
    <w:p w14:paraId="59205AF7">
      <w:pPr>
        <w:pStyle w:val="25"/>
        <w:tabs>
          <w:tab w:val="center" w:pos="4201"/>
          <w:tab w:val="right" w:leader="dot" w:pos="9298"/>
        </w:tabs>
        <w:ind w:firstLine="0" w:firstLineChars="0"/>
        <w:jc w:val="center"/>
        <w:rPr>
          <w:rFonts w:hint="eastAsia"/>
          <w:szCs w:val="21"/>
        </w:rPr>
      </w:pPr>
      <w:r>
        <w:rPr>
          <w:rFonts w:hint="eastAsia"/>
          <w:szCs w:val="21"/>
        </w:rPr>
        <w:t>图3 发动机进排气海拔模拟测试原理图</w:t>
      </w:r>
    </w:p>
    <w:p w14:paraId="494EAB25">
      <w:pPr>
        <w:spacing w:before="156" w:beforeLines="50" w:after="156" w:afterLines="50"/>
        <w:rPr>
          <w:rFonts w:hint="eastAsia" w:ascii="黑体" w:hAnsi="黑体" w:eastAsia="黑体" w:cs="黑体"/>
          <w:color w:val="000000"/>
          <w:szCs w:val="21"/>
        </w:rPr>
      </w:pPr>
      <w:r>
        <w:rPr>
          <w:rFonts w:hint="eastAsia" w:ascii="黑体" w:hAnsi="黑体" w:eastAsia="黑体" w:cs="黑体"/>
          <w:color w:val="000000"/>
          <w:szCs w:val="21"/>
        </w:rPr>
        <w:t>B.2  进排气海拔模拟工作模式</w:t>
      </w:r>
    </w:p>
    <w:p w14:paraId="6A08761E">
      <w:pPr>
        <w:spacing w:before="156" w:beforeLines="50" w:after="156" w:afterLines="50"/>
        <w:rPr>
          <w:rFonts w:hint="eastAsia" w:ascii="黑体" w:hAnsi="黑体" w:eastAsia="黑体" w:cs="黑体"/>
          <w:szCs w:val="21"/>
        </w:rPr>
      </w:pPr>
      <w:r>
        <w:rPr>
          <w:rFonts w:hint="eastAsia" w:ascii="黑体" w:hAnsi="黑体" w:eastAsia="黑体" w:cs="黑体"/>
          <w:szCs w:val="21"/>
        </w:rPr>
        <w:t>B.2.1 常压模式</w:t>
      </w:r>
    </w:p>
    <w:p w14:paraId="61A84845">
      <w:pPr>
        <w:pStyle w:val="25"/>
        <w:ind w:firstLine="420"/>
        <w:rPr>
          <w:rFonts w:hint="eastAsia"/>
        </w:rPr>
      </w:pPr>
      <w:r>
        <w:rPr>
          <w:rFonts w:hint="eastAsia"/>
        </w:rPr>
        <w:t>该模式下只运行进气条件控制单元，进气条件控制单元不需对发动机进气管路施加正压，进气风压由开关阀2旁通泄压。此模式用于进行设备处在的海拔环境测试，不进行压力模拟，进气条件控制单元仅控制发动机的进气温度和湿度条件。</w:t>
      </w:r>
    </w:p>
    <w:p w14:paraId="0FE96413">
      <w:pPr>
        <w:pStyle w:val="25"/>
        <w:ind w:firstLine="0" w:firstLineChars="0"/>
        <w:jc w:val="center"/>
        <w:rPr>
          <w:rFonts w:hint="eastAsia"/>
        </w:rPr>
      </w:pPr>
      <w:bookmarkStart w:id="63" w:name="_Toc95"/>
      <w:bookmarkStart w:id="64" w:name="_Toc22"/>
      <w:r>
        <w:drawing>
          <wp:inline distT="0" distB="0" distL="114300" distR="114300">
            <wp:extent cx="2238375" cy="1148080"/>
            <wp:effectExtent l="0" t="0" r="9525" b="762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31"/>
                    <a:stretch>
                      <a:fillRect/>
                    </a:stretch>
                  </pic:blipFill>
                  <pic:spPr>
                    <a:xfrm>
                      <a:off x="0" y="0"/>
                      <a:ext cx="2238375" cy="1148080"/>
                    </a:xfrm>
                    <a:prstGeom prst="rect">
                      <a:avLst/>
                    </a:prstGeom>
                    <a:noFill/>
                    <a:ln>
                      <a:noFill/>
                    </a:ln>
                  </pic:spPr>
                </pic:pic>
              </a:graphicData>
            </a:graphic>
          </wp:inline>
        </w:drawing>
      </w:r>
      <w:bookmarkEnd w:id="63"/>
      <w:bookmarkEnd w:id="64"/>
    </w:p>
    <w:p w14:paraId="07B0DAB0">
      <w:pPr>
        <w:spacing w:line="360" w:lineRule="auto"/>
        <w:jc w:val="center"/>
        <w:rPr>
          <w:rFonts w:ascii="黑体" w:hAnsi="Times New Roman" w:eastAsia="黑体" w:cs="Times New Roman"/>
        </w:rPr>
      </w:pPr>
      <w:r>
        <w:rPr>
          <w:rFonts w:hint="eastAsia" w:cs="Times New Roman"/>
          <w:kern w:val="0"/>
          <w:szCs w:val="21"/>
        </w:rPr>
        <w:t>图4 常压模式工作原理图</w:t>
      </w:r>
    </w:p>
    <w:p w14:paraId="26C244BE">
      <w:pPr>
        <w:spacing w:before="156" w:beforeLines="50" w:after="156" w:afterLines="50"/>
        <w:rPr>
          <w:rFonts w:hint="eastAsia" w:ascii="黑体" w:hAnsi="黑体" w:eastAsia="黑体" w:cs="黑体"/>
          <w:szCs w:val="21"/>
        </w:rPr>
      </w:pPr>
      <w:r>
        <w:rPr>
          <w:rFonts w:hint="eastAsia" w:ascii="黑体" w:hAnsi="黑体" w:eastAsia="黑体" w:cs="黑体"/>
          <w:szCs w:val="21"/>
        </w:rPr>
        <w:t>B.2.2 加压模式</w:t>
      </w:r>
    </w:p>
    <w:p w14:paraId="05D3E659">
      <w:pPr>
        <w:pStyle w:val="25"/>
        <w:ind w:firstLine="420"/>
        <w:rPr>
          <w:rFonts w:hint="eastAsia"/>
        </w:rPr>
      </w:pPr>
      <w:r>
        <w:rPr>
          <w:rFonts w:hint="eastAsia"/>
        </w:rPr>
        <w:t>只有在需要模拟比环境压力更低海拔压力的情况才需要此模式，仅需运行进气条件控制单元并对发动机进气管路施加正压，开关阀2关闭，一部分气体通过开关阀3进入排气，通过调节阀1和调节阀4的开度调节保证进排气正压力一致，同时进气条件控制单元还需控制发动机的进气温度和湿度条件。</w:t>
      </w:r>
    </w:p>
    <w:p w14:paraId="2D389616">
      <w:pPr>
        <w:pStyle w:val="25"/>
        <w:ind w:firstLine="0" w:firstLineChars="0"/>
        <w:jc w:val="center"/>
        <w:rPr>
          <w:rFonts w:hint="eastAsia"/>
        </w:rPr>
      </w:pPr>
      <w:r>
        <w:drawing>
          <wp:inline distT="0" distB="0" distL="114300" distR="114300">
            <wp:extent cx="2324100" cy="1336675"/>
            <wp:effectExtent l="0" t="0" r="0" b="9525"/>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32"/>
                    <a:stretch>
                      <a:fillRect/>
                    </a:stretch>
                  </pic:blipFill>
                  <pic:spPr>
                    <a:xfrm>
                      <a:off x="0" y="0"/>
                      <a:ext cx="2324100" cy="1336675"/>
                    </a:xfrm>
                    <a:prstGeom prst="rect">
                      <a:avLst/>
                    </a:prstGeom>
                    <a:noFill/>
                    <a:ln>
                      <a:noFill/>
                    </a:ln>
                  </pic:spPr>
                </pic:pic>
              </a:graphicData>
            </a:graphic>
          </wp:inline>
        </w:drawing>
      </w:r>
    </w:p>
    <w:p w14:paraId="6EE294D8">
      <w:pPr>
        <w:spacing w:line="360" w:lineRule="auto"/>
        <w:jc w:val="center"/>
        <w:rPr>
          <w:rFonts w:hint="eastAsia" w:cs="Times New Roman"/>
          <w:kern w:val="0"/>
          <w:szCs w:val="21"/>
        </w:rPr>
      </w:pPr>
      <w:r>
        <w:rPr>
          <w:rFonts w:hint="eastAsia" w:cs="Times New Roman"/>
          <w:kern w:val="0"/>
          <w:szCs w:val="21"/>
        </w:rPr>
        <w:t>图5 加压模式工作原理图</w:t>
      </w:r>
    </w:p>
    <w:p w14:paraId="05750DEB">
      <w:pPr>
        <w:spacing w:before="156" w:beforeLines="50" w:after="156" w:afterLines="50"/>
        <w:rPr>
          <w:rFonts w:hint="eastAsia" w:ascii="黑体" w:hAnsi="黑体" w:eastAsia="黑体" w:cs="黑体"/>
          <w:szCs w:val="21"/>
        </w:rPr>
      </w:pPr>
      <w:r>
        <w:rPr>
          <w:rFonts w:hint="eastAsia" w:ascii="黑体" w:hAnsi="黑体" w:eastAsia="黑体" w:cs="黑体"/>
          <w:szCs w:val="21"/>
        </w:rPr>
        <w:t>B.2.3 负压模式</w:t>
      </w:r>
    </w:p>
    <w:p w14:paraId="76A3B620">
      <w:pPr>
        <w:pStyle w:val="25"/>
        <w:ind w:firstLine="420"/>
        <w:rPr>
          <w:rFonts w:hint="eastAsia"/>
        </w:rPr>
      </w:pPr>
      <w:r>
        <w:rPr>
          <w:rFonts w:hint="eastAsia"/>
        </w:rPr>
        <w:t>在模拟比环境压力更高海拔压力的时候运行此模式，此模式需同时运行进气条件控制单元和排气控制单元。进气条件控制单元为发动机提供足够的进气流量和温湿度条件，一部分气体通过开关阀3进入排气，排气控制单元通过抽负压风机来给管路抽取负压，开关阀2关闭，通过调节阀1和调节阀4的开度调节保证进排气负压力一致。</w:t>
      </w:r>
    </w:p>
    <w:p w14:paraId="018EEDF4">
      <w:pPr>
        <w:pStyle w:val="25"/>
        <w:ind w:firstLine="420"/>
        <w:jc w:val="center"/>
        <w:rPr>
          <w:rFonts w:hint="eastAsia"/>
        </w:rPr>
      </w:pPr>
      <w:r>
        <w:drawing>
          <wp:inline distT="0" distB="0" distL="114300" distR="114300">
            <wp:extent cx="3482340" cy="1594485"/>
            <wp:effectExtent l="0" t="0" r="10160" b="5715"/>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pic:cNvPicPr>
                  </pic:nvPicPr>
                  <pic:blipFill>
                    <a:blip r:embed="rId33"/>
                    <a:stretch>
                      <a:fillRect/>
                    </a:stretch>
                  </pic:blipFill>
                  <pic:spPr>
                    <a:xfrm>
                      <a:off x="0" y="0"/>
                      <a:ext cx="3482340" cy="1594485"/>
                    </a:xfrm>
                    <a:prstGeom prst="rect">
                      <a:avLst/>
                    </a:prstGeom>
                    <a:noFill/>
                    <a:ln>
                      <a:noFill/>
                    </a:ln>
                  </pic:spPr>
                </pic:pic>
              </a:graphicData>
            </a:graphic>
          </wp:inline>
        </w:drawing>
      </w:r>
    </w:p>
    <w:p w14:paraId="634B54B9">
      <w:pPr>
        <w:spacing w:line="360" w:lineRule="auto"/>
        <w:jc w:val="center"/>
        <w:rPr>
          <w:rFonts w:hint="eastAsia" w:cs="Times New Roman"/>
          <w:kern w:val="0"/>
          <w:szCs w:val="21"/>
        </w:rPr>
      </w:pPr>
      <w:r>
        <w:rPr>
          <w:rFonts w:hint="eastAsia" w:cs="Times New Roman"/>
          <w:kern w:val="0"/>
          <w:szCs w:val="21"/>
        </w:rPr>
        <w:t>图6 负压模式工作原理图</w:t>
      </w:r>
    </w:p>
    <w:p w14:paraId="5BFE280E">
      <w:pPr>
        <w:spacing w:before="156" w:beforeLines="50" w:after="156" w:afterLines="50"/>
        <w:rPr>
          <w:rFonts w:hint="eastAsia" w:ascii="黑体" w:hAnsi="黑体" w:eastAsia="黑体" w:cs="黑体"/>
          <w:color w:val="000000"/>
          <w:szCs w:val="21"/>
        </w:rPr>
      </w:pPr>
      <w:r>
        <w:rPr>
          <w:rFonts w:hint="eastAsia" w:ascii="黑体" w:hAnsi="黑体" w:eastAsia="黑体" w:cs="黑体"/>
          <w:color w:val="000000"/>
          <w:szCs w:val="21"/>
        </w:rPr>
        <w:t>B.3  进排气海拔模拟构成</w:t>
      </w:r>
    </w:p>
    <w:p w14:paraId="40538723">
      <w:pPr>
        <w:spacing w:before="156" w:beforeLines="50" w:after="156" w:afterLines="50"/>
        <w:rPr>
          <w:rFonts w:hint="eastAsia" w:ascii="黑体" w:hAnsi="黑体" w:eastAsia="黑体" w:cs="黑体"/>
          <w:szCs w:val="21"/>
        </w:rPr>
      </w:pPr>
      <w:r>
        <w:rPr>
          <w:rFonts w:hint="eastAsia" w:ascii="黑体" w:hAnsi="黑体" w:eastAsia="黑体" w:cs="黑体"/>
          <w:szCs w:val="21"/>
        </w:rPr>
        <w:t>B.3.1 进气条件控制单元结构</w:t>
      </w:r>
    </w:p>
    <w:p w14:paraId="5F7432B0">
      <w:pPr>
        <w:pStyle w:val="25"/>
        <w:ind w:firstLine="420"/>
        <w:rPr>
          <w:rFonts w:hint="eastAsia"/>
        </w:rPr>
      </w:pPr>
      <w:r>
        <w:rPr>
          <w:rFonts w:hint="eastAsia"/>
        </w:rPr>
        <w:t>进气条件控制单元主要用于调节发动机进气压力、温度和湿度，模拟从不同海拔下的进气环境。其核心组件包括：进气过滤器、加压风机、热交换器、加热器、加湿装置、变频控制器及传感器模块等。</w:t>
      </w:r>
    </w:p>
    <w:p w14:paraId="07C97623">
      <w:pPr>
        <w:pStyle w:val="25"/>
        <w:ind w:firstLine="420"/>
        <w:rPr>
          <w:rFonts w:hint="eastAsia"/>
        </w:rPr>
      </w:pPr>
      <w:r>
        <w:rPr>
          <w:rFonts w:hint="eastAsia"/>
        </w:rPr>
        <w:t>当需模拟比环境压力更低海拔压力环境条件时，为补偿当地大气压力、实现更低海拔工况模拟，需通过加压风机向发动机进气管路施加正压。新鲜空气经加压风机升压后，由调压阀调节至目标压力，随后进入热交换器进行冷却除湿，再经加热器升温至设定温度。如有湿度控制需求，可通过蒸汽加湿装置调节相对湿度。最终，经多参数协同调控的空气输送至发动机进气口，出口处设置压力、温度、湿度传感器，实现闭环反馈控制，确保环境参数稳定可控。</w:t>
      </w:r>
    </w:p>
    <w:p w14:paraId="56C5DB47">
      <w:pPr>
        <w:pStyle w:val="25"/>
        <w:ind w:firstLine="0" w:firstLineChars="0"/>
        <w:jc w:val="center"/>
        <w:rPr>
          <w:rFonts w:hint="eastAsia"/>
        </w:rPr>
      </w:pPr>
      <w:r>
        <w:drawing>
          <wp:inline distT="0" distB="0" distL="114300" distR="114300">
            <wp:extent cx="2183765" cy="1477010"/>
            <wp:effectExtent l="0" t="0" r="635" b="8890"/>
            <wp:docPr id="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pic:cNvPicPr>
                      <a:picLocks noChangeAspect="1"/>
                    </pic:cNvPicPr>
                  </pic:nvPicPr>
                  <pic:blipFill>
                    <a:blip r:embed="rId34"/>
                    <a:stretch>
                      <a:fillRect/>
                    </a:stretch>
                  </pic:blipFill>
                  <pic:spPr>
                    <a:xfrm>
                      <a:off x="0" y="0"/>
                      <a:ext cx="2183765" cy="1477010"/>
                    </a:xfrm>
                    <a:prstGeom prst="rect">
                      <a:avLst/>
                    </a:prstGeom>
                    <a:noFill/>
                    <a:ln>
                      <a:noFill/>
                    </a:ln>
                  </pic:spPr>
                </pic:pic>
              </a:graphicData>
            </a:graphic>
          </wp:inline>
        </w:drawing>
      </w:r>
    </w:p>
    <w:p w14:paraId="7F7A2654">
      <w:pPr>
        <w:pStyle w:val="25"/>
        <w:ind w:firstLine="420"/>
        <w:jc w:val="center"/>
        <w:rPr>
          <w:rFonts w:hint="eastAsia"/>
          <w:szCs w:val="21"/>
        </w:rPr>
      </w:pPr>
      <w:r>
        <w:rPr>
          <w:rFonts w:hint="eastAsia"/>
          <w:szCs w:val="21"/>
        </w:rPr>
        <w:t>图7 进气条件控制单元结构</w:t>
      </w:r>
    </w:p>
    <w:p w14:paraId="0C1D682B">
      <w:pPr>
        <w:spacing w:before="156" w:beforeLines="50" w:after="156" w:afterLines="50"/>
        <w:rPr>
          <w:rFonts w:hint="eastAsia" w:ascii="黑体" w:hAnsi="黑体" w:eastAsia="黑体" w:cs="黑体"/>
          <w:szCs w:val="21"/>
        </w:rPr>
      </w:pPr>
      <w:r>
        <w:rPr>
          <w:rFonts w:hint="eastAsia" w:ascii="黑体" w:hAnsi="黑体" w:eastAsia="黑体" w:cs="黑体"/>
          <w:szCs w:val="21"/>
        </w:rPr>
        <w:t>B.3.2 排气控制单元结构</w:t>
      </w:r>
    </w:p>
    <w:p w14:paraId="5F31F2A4">
      <w:pPr>
        <w:pStyle w:val="25"/>
        <w:ind w:firstLine="420"/>
        <w:rPr>
          <w:rFonts w:hint="eastAsia"/>
        </w:rPr>
      </w:pPr>
      <w:r>
        <w:rPr>
          <w:rFonts w:hint="eastAsia"/>
        </w:rPr>
        <w:t>排气控制单元用于调节发动机排气负压，模拟高海拔下进排气管路的低压环境，确保发动机增压器系统响应特性与真实高原工况一致。主要由抽风机、热交换器、颗粒过滤器、消声器、风机变频器及压力测量模块等组成。</w:t>
      </w:r>
    </w:p>
    <w:p w14:paraId="1A366030">
      <w:pPr>
        <w:pStyle w:val="25"/>
        <w:ind w:firstLine="420"/>
        <w:rPr>
          <w:rFonts w:hint="eastAsia"/>
        </w:rPr>
      </w:pPr>
      <w:r>
        <w:rPr>
          <w:rFonts w:hint="eastAsia"/>
        </w:rPr>
        <w:t>由于发动机燃烧后排气温度较高，直接进入抽风机可能造成设备损坏，因此排气首先经过热交换器降温，再通过颗粒过滤器去除碳烟等杂质，随后进入抽风机。抽风机通过调节转速（由变频器控制）实现排气管路负压的精确调控，以匹配目标海拔对应的排气压力。最后，废气通过消声器降噪后排入室外或排放系统。</w:t>
      </w:r>
    </w:p>
    <w:p w14:paraId="3314C66A">
      <w:pPr>
        <w:pStyle w:val="25"/>
        <w:ind w:firstLine="420"/>
        <w:jc w:val="center"/>
        <w:rPr>
          <w:rFonts w:hint="eastAsia"/>
          <w:highlight w:val="yellow"/>
        </w:rPr>
      </w:pPr>
      <w:r>
        <w:drawing>
          <wp:inline distT="0" distB="0" distL="114300" distR="114300">
            <wp:extent cx="2724150" cy="1362075"/>
            <wp:effectExtent l="0" t="0" r="6350" b="9525"/>
            <wp:docPr id="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pic:cNvPicPr>
                      <a:picLocks noChangeAspect="1"/>
                    </pic:cNvPicPr>
                  </pic:nvPicPr>
                  <pic:blipFill>
                    <a:blip r:embed="rId35"/>
                    <a:stretch>
                      <a:fillRect/>
                    </a:stretch>
                  </pic:blipFill>
                  <pic:spPr>
                    <a:xfrm>
                      <a:off x="0" y="0"/>
                      <a:ext cx="2724150" cy="1362075"/>
                    </a:xfrm>
                    <a:prstGeom prst="rect">
                      <a:avLst/>
                    </a:prstGeom>
                    <a:noFill/>
                    <a:ln>
                      <a:noFill/>
                    </a:ln>
                  </pic:spPr>
                </pic:pic>
              </a:graphicData>
            </a:graphic>
          </wp:inline>
        </w:drawing>
      </w:r>
    </w:p>
    <w:p w14:paraId="3F0C9418">
      <w:pPr>
        <w:pStyle w:val="25"/>
        <w:ind w:firstLine="420"/>
        <w:jc w:val="center"/>
        <w:rPr>
          <w:rFonts w:hint="eastAsia"/>
          <w:szCs w:val="21"/>
        </w:rPr>
      </w:pPr>
      <w:r>
        <w:rPr>
          <w:rFonts w:hint="eastAsia"/>
          <w:szCs w:val="21"/>
        </w:rPr>
        <w:t>图8 排气控制单元结构</w:t>
      </w:r>
    </w:p>
    <w:p w14:paraId="08C0AD09">
      <w:pPr>
        <w:pStyle w:val="2"/>
        <w:rPr>
          <w:rFonts w:hint="eastAsia"/>
        </w:rPr>
        <w:sectPr>
          <w:headerReference r:id="rId21" w:type="default"/>
          <w:footerReference r:id="rId22" w:type="even"/>
          <w:pgSz w:w="11906" w:h="16838"/>
          <w:pgMar w:top="567" w:right="1134" w:bottom="1134" w:left="1418" w:header="1417" w:footer="1134" w:gutter="0"/>
          <w:cols w:space="425" w:num="1"/>
          <w:docGrid w:type="lines" w:linePitch="312" w:charSpace="0"/>
        </w:sectPr>
      </w:pPr>
    </w:p>
    <w:p w14:paraId="1640283B">
      <w:pPr>
        <w:jc w:val="center"/>
        <w:rPr>
          <w:rFonts w:hint="eastAsia"/>
        </w:rPr>
      </w:pPr>
      <w:r>
        <w:rPr>
          <w:rFonts w:hint="eastAsia" w:ascii="Times New Roman"/>
          <w:szCs w:val="21"/>
        </w:rPr>
        <mc:AlternateContent>
          <mc:Choice Requires="wps">
            <w:drawing>
              <wp:anchor distT="0" distB="0" distL="114300" distR="114300" simplePos="0" relativeHeight="251662336" behindDoc="0" locked="0" layoutInCell="1" allowOverlap="1">
                <wp:simplePos x="0" y="0"/>
                <wp:positionH relativeFrom="column">
                  <wp:posOffset>5972810</wp:posOffset>
                </wp:positionH>
                <wp:positionV relativeFrom="paragraph">
                  <wp:posOffset>3810</wp:posOffset>
                </wp:positionV>
                <wp:extent cx="476250" cy="1485900"/>
                <wp:effectExtent l="0" t="0" r="0" b="0"/>
                <wp:wrapNone/>
                <wp:docPr id="156267049" name="文本框 2"/>
                <wp:cNvGraphicFramePr/>
                <a:graphic xmlns:a="http://schemas.openxmlformats.org/drawingml/2006/main">
                  <a:graphicData uri="http://schemas.microsoft.com/office/word/2010/wordprocessingShape">
                    <wps:wsp>
                      <wps:cNvSpPr txBox="1"/>
                      <wps:spPr>
                        <a:xfrm>
                          <a:off x="0" y="0"/>
                          <a:ext cx="476250" cy="1485900"/>
                        </a:xfrm>
                        <a:prstGeom prst="rect">
                          <a:avLst/>
                        </a:prstGeom>
                        <a:noFill/>
                        <a:ln w="6350">
                          <a:noFill/>
                        </a:ln>
                      </wps:spPr>
                      <wps:txbx>
                        <w:txbxContent>
                          <w:p w14:paraId="7BB1445E">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470.3pt;margin-top:0.3pt;height:117pt;width:37.5pt;z-index:251662336;mso-width-relative:page;mso-height-relative:page;" filled="f" stroked="f" coordsize="21600,21600" o:gfxdata="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omQrdkAAAAJAQAADwAAAAAAAAABACAAAAAi&#10;AAAAZHJzL2Rvd25yZXYueG1sUEsBAhQAFAAAAAgAh07iQClkmxlCAgAAcQQAAA4AAAAAAAAAAQAg&#10;AAAAKAEAAGRycy9lMm9Eb2MueG1sUEsFBgAAAAAGAAYAWQEAANwFAAAAAA==&#10;">
                <v:fill on="f" focussize="0,0"/>
                <v:stroke on="f" weight="0.5pt"/>
                <v:imagedata o:title=""/>
                <o:lock v:ext="edit" aspectratio="f"/>
                <v:textbox style="layout-flow:vertical;mso-layout-flow-alt:bottom-to-top;">
                  <w:txbxContent>
                    <w:p w14:paraId="7BB1445E">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v:textbox>
              </v:shape>
            </w:pict>
          </mc:Fallback>
        </mc:AlternateContent>
      </w:r>
    </w:p>
    <w:sectPr>
      <w:headerReference r:id="rId23" w:type="first"/>
      <w:footerReference r:id="rId26" w:type="first"/>
      <w:footerReference r:id="rId24" w:type="default"/>
      <w:footerReference r:id="rId25" w:type="even"/>
      <w:pgSz w:w="11906" w:h="16838"/>
      <w:pgMar w:top="1418" w:right="1134" w:bottom="1134" w:left="1418" w:header="1418" w:footer="113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方正魏碑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9855556"/>
    </w:sdtPr>
    <w:sdtContent>
      <w:p w14:paraId="7134F3C6">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ECD8D">
    <w:pPr>
      <w:pStyle w:val="59"/>
      <w:rPr>
        <w:rFonts w:hint="eastAsia"/>
      </w:rPr>
    </w:pPr>
    <w:sdt>
      <w:sdtPr>
        <w:id w:val="147460859"/>
      </w:sdtPr>
      <w:sdtContent>
        <w:r>
          <w:fldChar w:fldCharType="begin"/>
        </w:r>
        <w:r>
          <w:instrText xml:space="preserve">PAGE   \* MERGEFORMAT</w:instrText>
        </w:r>
        <w:r>
          <w:fldChar w:fldCharType="separate"/>
        </w:r>
        <w:r>
          <w:rPr>
            <w:lang w:val="zh-CN"/>
          </w:rPr>
          <w:t>2</w:t>
        </w:r>
        <w:r>
          <w:fldChar w:fldCharType="end"/>
        </w:r>
      </w:sdtContent>
    </w:sdt>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0E026">
    <w:pPr>
      <w:pStyle w:val="11"/>
      <w:tabs>
        <w:tab w:val="center" w:pos="4153"/>
        <w:tab w:val="right" w:pos="8306"/>
        <w:tab w:val="clear" w:pos="4680"/>
        <w:tab w:val="clear" w:pos="9360"/>
      </w:tabs>
      <w:spacing w:before="120" w:after="120"/>
      <w:jc w:val="right"/>
      <w:rPr>
        <w:rFonts w:hint="eastAsia"/>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AFF03">
    <w:pPr>
      <w:pStyle w:val="59"/>
      <w:rPr>
        <w:rFonts w:hint="eastAsi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FAEAC">
    <w:pPr>
      <w:ind w:left="22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1874"/>
    </w:sdtPr>
    <w:sdtContent>
      <w:p w14:paraId="3BA1FB64">
        <w:pPr>
          <w:pStyle w:val="58"/>
          <w:rPr>
            <w:rFonts w:hint="eastAsia"/>
          </w:rPr>
        </w:pPr>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DA661">
    <w:pPr>
      <w:ind w:right="227"/>
      <w:jc w:val="right"/>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7049363"/>
    </w:sdtPr>
    <w:sdtContent>
      <w:p w14:paraId="18634CF3">
        <w:pPr>
          <w:pStyle w:val="58"/>
          <w:rPr>
            <w:rFonts w:hint="eastAsia"/>
          </w:rPr>
        </w:pPr>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787141"/>
    </w:sdtPr>
    <w:sdtContent>
      <w:p w14:paraId="7415F225">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6435523"/>
    </w:sdtPr>
    <w:sdtContent>
      <w:p w14:paraId="35D35C77">
        <w:pPr>
          <w:pStyle w:val="58"/>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8044"/>
    </w:sdtPr>
    <w:sdtContent>
      <w:p w14:paraId="41F712A3">
        <w:pPr>
          <w:pStyle w:val="58"/>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8775624"/>
    </w:sdtPr>
    <w:sdtContent>
      <w:p w14:paraId="56A826AD">
        <w:pPr>
          <w:pStyle w:val="59"/>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8540983"/>
    </w:sdtPr>
    <w:sdtContent>
      <w:p w14:paraId="0A46DECB">
        <w:pPr>
          <w:pStyle w:val="58"/>
          <w:rPr>
            <w:rFonts w:hint="eastAsia"/>
          </w:rP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EEAA7">
    <w:pPr>
      <w:pStyle w:val="26"/>
      <w:rPr>
        <w:rFonts w:hint="eastAsia"/>
      </w:rPr>
    </w:pPr>
    <w:r>
      <w:rPr>
        <w:rFonts w:hint="eastAsia"/>
      </w:rPr>
      <w:t>T/CSICE 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73913">
    <w:pPr>
      <w:pStyle w:val="62"/>
      <w:spacing w:after="200"/>
      <w:rPr>
        <w:rFonts w:hint="eastAsia" w:hAnsi="黑体"/>
      </w:rPr>
    </w:pPr>
    <w:r>
      <w:rPr>
        <w:rFonts w:hAnsi="黑体"/>
      </w:rPr>
      <w:t>T/CSICE 00</w:t>
    </w:r>
    <w:r>
      <w:rPr>
        <w:rFonts w:hint="eastAsia" w:hAnsi="黑体"/>
      </w:rPr>
      <w:t>X</w:t>
    </w:r>
    <w:r>
      <w:rPr>
        <w:rFonts w:hAnsi="黑体"/>
      </w:rPr>
      <w:t>-202</w:t>
    </w:r>
    <w:r>
      <w:rPr>
        <w:rFonts w:hint="eastAsia" w:hAnsi="黑体"/>
      </w:rPr>
      <w:t>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C1E67">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881EF">
    <w:pPr>
      <w:jc w:val="right"/>
      <w:rPr>
        <w:rFonts w:hint="eastAsia" w:ascii="黑体" w:hAnsi="黑体" w:eastAsia="黑体"/>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08AFA">
    <w:pPr>
      <w:jc w:val="right"/>
      <w:rPr>
        <w:rFonts w:hint="eastAsia" w:ascii="黑体" w:hAnsi="黑体" w:eastAsia="黑体"/>
        <w:szCs w:val="21"/>
      </w:rPr>
    </w:pPr>
    <w:r>
      <w:rPr>
        <w:rFonts w:hint="eastAsia" w:ascii="黑体" w:hAnsi="黑体" w:eastAsia="黑体"/>
        <w:szCs w:val="21"/>
      </w:rPr>
      <w:t>T/CSICE XXX-XXX</w:t>
    </w:r>
  </w:p>
  <w:p w14:paraId="0517F5E9">
    <w:pPr>
      <w:pStyle w:val="46"/>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C67A3">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D429A">
    <w:pPr>
      <w:jc w:val="right"/>
      <w:rPr>
        <w:rFonts w:hint="eastAsia" w:ascii="黑体" w:hAnsi="黑体" w:eastAsia="黑体"/>
        <w:szCs w:val="21"/>
      </w:rPr>
    </w:pPr>
    <w:r>
      <w:rPr>
        <w:rFonts w:hint="eastAsia" w:ascii="黑体" w:hAnsi="黑体" w:eastAsia="黑体"/>
        <w:szCs w:val="21"/>
      </w:rPr>
      <w:t>T/CSICE XXX-XXX</w:t>
    </w:r>
  </w:p>
  <w:p w14:paraId="5CE0F1C0">
    <w:pPr>
      <w:pStyle w:val="46"/>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8394E">
    <w:pPr>
      <w:pStyle w:val="46"/>
      <w:rPr>
        <w:rFonts w:hint="eastAsia"/>
      </w:rPr>
    </w:pPr>
    <w:r>
      <w:rPr>
        <w:rFonts w:hint="eastAsia"/>
      </w:rPr>
      <w:t>T/CSICE 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70A1A">
    <w:pPr>
      <w:pStyle w:val="46"/>
      <w:rPr>
        <w:rFonts w:hint="eastAsia"/>
      </w:rPr>
    </w:pPr>
    <w:r>
      <w:rPr>
        <w:rFonts w:hint="eastAsia"/>
      </w:rPr>
      <w:t>T/CSICE 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D8E6">
    <w:pPr>
      <w:pStyle w:val="26"/>
      <w:rPr>
        <w:rFonts w:hint="eastAsia"/>
      </w:rPr>
    </w:pPr>
    <w:r>
      <w:rPr>
        <w:rFonts w:hint="eastAsia"/>
      </w:rPr>
      <w:t>T/CSICE XXX-XXX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4D7B4">
    <w:pPr>
      <w:pStyle w:val="46"/>
      <w:rPr>
        <w:rFonts w:hint="eastAsia"/>
      </w:rPr>
    </w:pPr>
    <w:r>
      <w:rPr>
        <w:rFonts w:hint="eastAsia"/>
      </w:rPr>
      <w:t>T/CSICE 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8FAEEB"/>
    <w:multiLevelType w:val="multilevel"/>
    <w:tmpl w:val="DD8FAEEB"/>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
    <w:nsid w:val="FA5F2AB2"/>
    <w:multiLevelType w:val="multilevel"/>
    <w:tmpl w:val="FA5F2AB2"/>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10E07375"/>
    <w:multiLevelType w:val="multilevel"/>
    <w:tmpl w:val="10E07375"/>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3">
    <w:nsid w:val="1613CD04"/>
    <w:multiLevelType w:val="singleLevel"/>
    <w:tmpl w:val="1613CD04"/>
    <w:lvl w:ilvl="0" w:tentative="0">
      <w:start w:val="5"/>
      <w:numFmt w:val="decimal"/>
      <w:suff w:val="nothing"/>
      <w:lvlText w:val="%1　"/>
      <w:lvlJc w:val="left"/>
    </w:lvl>
  </w:abstractNum>
  <w:abstractNum w:abstractNumId="4">
    <w:nsid w:val="41494D7F"/>
    <w:multiLevelType w:val="multilevel"/>
    <w:tmpl w:val="41494D7F"/>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ZjBiNjgxZjRhYmQ0N2JkMGQ3YmZkZjNmZWE5ZWQifQ=="/>
  </w:docVars>
  <w:rsids>
    <w:rsidRoot w:val="00B726FA"/>
    <w:rsid w:val="000008AE"/>
    <w:rsid w:val="00000B77"/>
    <w:rsid w:val="00017FA5"/>
    <w:rsid w:val="00023CBF"/>
    <w:rsid w:val="00026F61"/>
    <w:rsid w:val="00031B1F"/>
    <w:rsid w:val="00036D03"/>
    <w:rsid w:val="00037050"/>
    <w:rsid w:val="00047E8A"/>
    <w:rsid w:val="00053812"/>
    <w:rsid w:val="0005460C"/>
    <w:rsid w:val="000610C3"/>
    <w:rsid w:val="00061F1E"/>
    <w:rsid w:val="000646A5"/>
    <w:rsid w:val="0007018A"/>
    <w:rsid w:val="00071086"/>
    <w:rsid w:val="000836DF"/>
    <w:rsid w:val="000859ED"/>
    <w:rsid w:val="000906FA"/>
    <w:rsid w:val="00091DAD"/>
    <w:rsid w:val="00097670"/>
    <w:rsid w:val="000B0CC7"/>
    <w:rsid w:val="000B6AD2"/>
    <w:rsid w:val="000C7A74"/>
    <w:rsid w:val="000D13FE"/>
    <w:rsid w:val="000D3B4E"/>
    <w:rsid w:val="000D4D28"/>
    <w:rsid w:val="000D6BE0"/>
    <w:rsid w:val="000D7BF0"/>
    <w:rsid w:val="000E19D1"/>
    <w:rsid w:val="000E1A27"/>
    <w:rsid w:val="000E6263"/>
    <w:rsid w:val="000E77B6"/>
    <w:rsid w:val="000F340C"/>
    <w:rsid w:val="0010124A"/>
    <w:rsid w:val="00105868"/>
    <w:rsid w:val="00105977"/>
    <w:rsid w:val="00105F99"/>
    <w:rsid w:val="00106B7F"/>
    <w:rsid w:val="00111C88"/>
    <w:rsid w:val="0012462F"/>
    <w:rsid w:val="001270FF"/>
    <w:rsid w:val="0012721D"/>
    <w:rsid w:val="00127B04"/>
    <w:rsid w:val="00136932"/>
    <w:rsid w:val="00137389"/>
    <w:rsid w:val="001378F8"/>
    <w:rsid w:val="001413B7"/>
    <w:rsid w:val="00141C55"/>
    <w:rsid w:val="0014380A"/>
    <w:rsid w:val="00145C43"/>
    <w:rsid w:val="00146756"/>
    <w:rsid w:val="0015688F"/>
    <w:rsid w:val="00156F18"/>
    <w:rsid w:val="00160E3E"/>
    <w:rsid w:val="001648AC"/>
    <w:rsid w:val="00165178"/>
    <w:rsid w:val="001666DE"/>
    <w:rsid w:val="00171505"/>
    <w:rsid w:val="00171585"/>
    <w:rsid w:val="00181E7E"/>
    <w:rsid w:val="00184A07"/>
    <w:rsid w:val="00184F39"/>
    <w:rsid w:val="001855EA"/>
    <w:rsid w:val="00186714"/>
    <w:rsid w:val="00190AC9"/>
    <w:rsid w:val="00191797"/>
    <w:rsid w:val="00192F64"/>
    <w:rsid w:val="001A1031"/>
    <w:rsid w:val="001A1FCC"/>
    <w:rsid w:val="001B1B6B"/>
    <w:rsid w:val="001C2B28"/>
    <w:rsid w:val="001C2D6A"/>
    <w:rsid w:val="001C375C"/>
    <w:rsid w:val="001C5952"/>
    <w:rsid w:val="001C5EDF"/>
    <w:rsid w:val="001D1F68"/>
    <w:rsid w:val="001D5653"/>
    <w:rsid w:val="001D58B4"/>
    <w:rsid w:val="001D7761"/>
    <w:rsid w:val="001D7C84"/>
    <w:rsid w:val="001E1826"/>
    <w:rsid w:val="001E3C2B"/>
    <w:rsid w:val="001E47A4"/>
    <w:rsid w:val="001F28D7"/>
    <w:rsid w:val="001F2BE4"/>
    <w:rsid w:val="001F43C5"/>
    <w:rsid w:val="001F69BE"/>
    <w:rsid w:val="001F7E86"/>
    <w:rsid w:val="00200669"/>
    <w:rsid w:val="00200AF3"/>
    <w:rsid w:val="00202651"/>
    <w:rsid w:val="0020354D"/>
    <w:rsid w:val="002041C9"/>
    <w:rsid w:val="00207D9E"/>
    <w:rsid w:val="002175DF"/>
    <w:rsid w:val="00223C7A"/>
    <w:rsid w:val="0022407F"/>
    <w:rsid w:val="00224C2A"/>
    <w:rsid w:val="00234A78"/>
    <w:rsid w:val="002363E4"/>
    <w:rsid w:val="00236879"/>
    <w:rsid w:val="002434DA"/>
    <w:rsid w:val="00253011"/>
    <w:rsid w:val="002547BB"/>
    <w:rsid w:val="00254905"/>
    <w:rsid w:val="002602A7"/>
    <w:rsid w:val="00262753"/>
    <w:rsid w:val="00262EB4"/>
    <w:rsid w:val="002662EA"/>
    <w:rsid w:val="002679A7"/>
    <w:rsid w:val="0027609B"/>
    <w:rsid w:val="00276F11"/>
    <w:rsid w:val="00280358"/>
    <w:rsid w:val="002824F9"/>
    <w:rsid w:val="002851E4"/>
    <w:rsid w:val="00286BE6"/>
    <w:rsid w:val="002909F9"/>
    <w:rsid w:val="00294568"/>
    <w:rsid w:val="00295DA9"/>
    <w:rsid w:val="002A1DB8"/>
    <w:rsid w:val="002A51FB"/>
    <w:rsid w:val="002A68B6"/>
    <w:rsid w:val="002B2FAB"/>
    <w:rsid w:val="002B2FBC"/>
    <w:rsid w:val="002B3332"/>
    <w:rsid w:val="002B431A"/>
    <w:rsid w:val="002C1FFB"/>
    <w:rsid w:val="002C71DE"/>
    <w:rsid w:val="002C79F6"/>
    <w:rsid w:val="002D1346"/>
    <w:rsid w:val="002D1975"/>
    <w:rsid w:val="002D2DDD"/>
    <w:rsid w:val="002D4A6F"/>
    <w:rsid w:val="002D7C4D"/>
    <w:rsid w:val="002E3C54"/>
    <w:rsid w:val="002E43C9"/>
    <w:rsid w:val="002E4482"/>
    <w:rsid w:val="002E4546"/>
    <w:rsid w:val="002E6134"/>
    <w:rsid w:val="002F223F"/>
    <w:rsid w:val="003078D7"/>
    <w:rsid w:val="003105FC"/>
    <w:rsid w:val="00314CCA"/>
    <w:rsid w:val="00315621"/>
    <w:rsid w:val="00320206"/>
    <w:rsid w:val="00330615"/>
    <w:rsid w:val="00332B46"/>
    <w:rsid w:val="00332C50"/>
    <w:rsid w:val="003374BB"/>
    <w:rsid w:val="003403DD"/>
    <w:rsid w:val="00342EE3"/>
    <w:rsid w:val="003446E1"/>
    <w:rsid w:val="003454CA"/>
    <w:rsid w:val="00346B12"/>
    <w:rsid w:val="00351E9B"/>
    <w:rsid w:val="003565AE"/>
    <w:rsid w:val="00360C0A"/>
    <w:rsid w:val="00361573"/>
    <w:rsid w:val="00367325"/>
    <w:rsid w:val="003716F3"/>
    <w:rsid w:val="003727BC"/>
    <w:rsid w:val="0037357A"/>
    <w:rsid w:val="00373D6D"/>
    <w:rsid w:val="003759A7"/>
    <w:rsid w:val="003774AA"/>
    <w:rsid w:val="003838D3"/>
    <w:rsid w:val="00386CFE"/>
    <w:rsid w:val="00387EE6"/>
    <w:rsid w:val="00390170"/>
    <w:rsid w:val="0039571B"/>
    <w:rsid w:val="003B46C9"/>
    <w:rsid w:val="003C299C"/>
    <w:rsid w:val="003C52BA"/>
    <w:rsid w:val="003C6D13"/>
    <w:rsid w:val="003D3142"/>
    <w:rsid w:val="003D350A"/>
    <w:rsid w:val="003D7C87"/>
    <w:rsid w:val="003E33D7"/>
    <w:rsid w:val="003E62BF"/>
    <w:rsid w:val="003F73D9"/>
    <w:rsid w:val="004043D3"/>
    <w:rsid w:val="00405301"/>
    <w:rsid w:val="00405476"/>
    <w:rsid w:val="00415AB8"/>
    <w:rsid w:val="0041604A"/>
    <w:rsid w:val="00416FE1"/>
    <w:rsid w:val="00420F16"/>
    <w:rsid w:val="0042108E"/>
    <w:rsid w:val="0042736B"/>
    <w:rsid w:val="00433110"/>
    <w:rsid w:val="004347D8"/>
    <w:rsid w:val="00434FFE"/>
    <w:rsid w:val="00437E90"/>
    <w:rsid w:val="00440E87"/>
    <w:rsid w:val="00442EE9"/>
    <w:rsid w:val="00447736"/>
    <w:rsid w:val="00447BF5"/>
    <w:rsid w:val="004500C0"/>
    <w:rsid w:val="00452FAB"/>
    <w:rsid w:val="00461442"/>
    <w:rsid w:val="004643D2"/>
    <w:rsid w:val="004708A9"/>
    <w:rsid w:val="00471FD6"/>
    <w:rsid w:val="00473C91"/>
    <w:rsid w:val="004750CD"/>
    <w:rsid w:val="00481490"/>
    <w:rsid w:val="004824ED"/>
    <w:rsid w:val="00494091"/>
    <w:rsid w:val="00495D5A"/>
    <w:rsid w:val="00497C36"/>
    <w:rsid w:val="004A1CDC"/>
    <w:rsid w:val="004A274F"/>
    <w:rsid w:val="004A3341"/>
    <w:rsid w:val="004D1B7A"/>
    <w:rsid w:val="004D3A1D"/>
    <w:rsid w:val="004D6FCC"/>
    <w:rsid w:val="004E4191"/>
    <w:rsid w:val="004E6103"/>
    <w:rsid w:val="004E65B7"/>
    <w:rsid w:val="004F09FC"/>
    <w:rsid w:val="0050053C"/>
    <w:rsid w:val="00500FD8"/>
    <w:rsid w:val="00502B3B"/>
    <w:rsid w:val="005110E3"/>
    <w:rsid w:val="005127A1"/>
    <w:rsid w:val="005128A9"/>
    <w:rsid w:val="005159CE"/>
    <w:rsid w:val="005160D7"/>
    <w:rsid w:val="00523D45"/>
    <w:rsid w:val="005302B4"/>
    <w:rsid w:val="0053188E"/>
    <w:rsid w:val="00537759"/>
    <w:rsid w:val="00546454"/>
    <w:rsid w:val="00546712"/>
    <w:rsid w:val="005469D8"/>
    <w:rsid w:val="0054725C"/>
    <w:rsid w:val="00547A7A"/>
    <w:rsid w:val="00551B6D"/>
    <w:rsid w:val="005536B1"/>
    <w:rsid w:val="00553E80"/>
    <w:rsid w:val="005552A3"/>
    <w:rsid w:val="0059590F"/>
    <w:rsid w:val="0059701D"/>
    <w:rsid w:val="005A1315"/>
    <w:rsid w:val="005A2547"/>
    <w:rsid w:val="005C0D18"/>
    <w:rsid w:val="005C23CE"/>
    <w:rsid w:val="005D00F1"/>
    <w:rsid w:val="005E0E4E"/>
    <w:rsid w:val="005E6117"/>
    <w:rsid w:val="005F574F"/>
    <w:rsid w:val="0060013C"/>
    <w:rsid w:val="00602301"/>
    <w:rsid w:val="00605178"/>
    <w:rsid w:val="00605423"/>
    <w:rsid w:val="006105DA"/>
    <w:rsid w:val="00615ED3"/>
    <w:rsid w:val="00624F8E"/>
    <w:rsid w:val="00625DF9"/>
    <w:rsid w:val="0062621F"/>
    <w:rsid w:val="00627562"/>
    <w:rsid w:val="00627C3B"/>
    <w:rsid w:val="00634AE6"/>
    <w:rsid w:val="00635AED"/>
    <w:rsid w:val="00637691"/>
    <w:rsid w:val="0063776F"/>
    <w:rsid w:val="006444AD"/>
    <w:rsid w:val="0064702B"/>
    <w:rsid w:val="00652E6E"/>
    <w:rsid w:val="00656A70"/>
    <w:rsid w:val="006638CA"/>
    <w:rsid w:val="006677B6"/>
    <w:rsid w:val="00674C9E"/>
    <w:rsid w:val="00675DF6"/>
    <w:rsid w:val="006809EA"/>
    <w:rsid w:val="006847E9"/>
    <w:rsid w:val="00687EB1"/>
    <w:rsid w:val="00690423"/>
    <w:rsid w:val="00692600"/>
    <w:rsid w:val="006A639E"/>
    <w:rsid w:val="006A63E7"/>
    <w:rsid w:val="006C67DC"/>
    <w:rsid w:val="006D77B5"/>
    <w:rsid w:val="006E3B72"/>
    <w:rsid w:val="006F2F65"/>
    <w:rsid w:val="006F2FCB"/>
    <w:rsid w:val="006F348D"/>
    <w:rsid w:val="006F5994"/>
    <w:rsid w:val="006F5F2B"/>
    <w:rsid w:val="006F756B"/>
    <w:rsid w:val="00703D0E"/>
    <w:rsid w:val="00704615"/>
    <w:rsid w:val="00705F41"/>
    <w:rsid w:val="00715640"/>
    <w:rsid w:val="00715B65"/>
    <w:rsid w:val="0071615E"/>
    <w:rsid w:val="00717CD8"/>
    <w:rsid w:val="0072128A"/>
    <w:rsid w:val="00722824"/>
    <w:rsid w:val="00724B99"/>
    <w:rsid w:val="00724CA6"/>
    <w:rsid w:val="00734BD3"/>
    <w:rsid w:val="00734D44"/>
    <w:rsid w:val="00737F9B"/>
    <w:rsid w:val="00742BA3"/>
    <w:rsid w:val="00743749"/>
    <w:rsid w:val="007443E5"/>
    <w:rsid w:val="007509D8"/>
    <w:rsid w:val="00757447"/>
    <w:rsid w:val="00784107"/>
    <w:rsid w:val="00786B12"/>
    <w:rsid w:val="00787139"/>
    <w:rsid w:val="00790570"/>
    <w:rsid w:val="00791CF9"/>
    <w:rsid w:val="007944FD"/>
    <w:rsid w:val="007A1259"/>
    <w:rsid w:val="007A2652"/>
    <w:rsid w:val="007A4BEE"/>
    <w:rsid w:val="007C48D9"/>
    <w:rsid w:val="007D1A98"/>
    <w:rsid w:val="007D1B28"/>
    <w:rsid w:val="007D4317"/>
    <w:rsid w:val="007E6C19"/>
    <w:rsid w:val="007F1465"/>
    <w:rsid w:val="007F7906"/>
    <w:rsid w:val="0080087D"/>
    <w:rsid w:val="00802788"/>
    <w:rsid w:val="008027E8"/>
    <w:rsid w:val="00802BF3"/>
    <w:rsid w:val="008076EC"/>
    <w:rsid w:val="008078D5"/>
    <w:rsid w:val="008132E2"/>
    <w:rsid w:val="00814412"/>
    <w:rsid w:val="008149D8"/>
    <w:rsid w:val="00815051"/>
    <w:rsid w:val="00815ADD"/>
    <w:rsid w:val="00820455"/>
    <w:rsid w:val="008216F6"/>
    <w:rsid w:val="008231CD"/>
    <w:rsid w:val="008321C2"/>
    <w:rsid w:val="00833D14"/>
    <w:rsid w:val="00835037"/>
    <w:rsid w:val="00836180"/>
    <w:rsid w:val="00836B4F"/>
    <w:rsid w:val="008406C7"/>
    <w:rsid w:val="00843D0D"/>
    <w:rsid w:val="0084722A"/>
    <w:rsid w:val="008474F6"/>
    <w:rsid w:val="0085190A"/>
    <w:rsid w:val="00863E30"/>
    <w:rsid w:val="0086754C"/>
    <w:rsid w:val="00867FDA"/>
    <w:rsid w:val="00871F27"/>
    <w:rsid w:val="0087384B"/>
    <w:rsid w:val="00876DE4"/>
    <w:rsid w:val="0089278D"/>
    <w:rsid w:val="008A3B40"/>
    <w:rsid w:val="008A6128"/>
    <w:rsid w:val="008A6773"/>
    <w:rsid w:val="008B008D"/>
    <w:rsid w:val="008B0BA6"/>
    <w:rsid w:val="008B5A95"/>
    <w:rsid w:val="008C7317"/>
    <w:rsid w:val="008D18FD"/>
    <w:rsid w:val="008D3127"/>
    <w:rsid w:val="008D441E"/>
    <w:rsid w:val="008D4A59"/>
    <w:rsid w:val="008D4EBE"/>
    <w:rsid w:val="008D56CC"/>
    <w:rsid w:val="008D5939"/>
    <w:rsid w:val="008E4863"/>
    <w:rsid w:val="008E594C"/>
    <w:rsid w:val="008E67FA"/>
    <w:rsid w:val="008F3059"/>
    <w:rsid w:val="008F47E1"/>
    <w:rsid w:val="008F5786"/>
    <w:rsid w:val="008F7F72"/>
    <w:rsid w:val="009068F3"/>
    <w:rsid w:val="0091005B"/>
    <w:rsid w:val="00911572"/>
    <w:rsid w:val="00913CDD"/>
    <w:rsid w:val="009140E1"/>
    <w:rsid w:val="00914355"/>
    <w:rsid w:val="009148AC"/>
    <w:rsid w:val="00920024"/>
    <w:rsid w:val="00921F64"/>
    <w:rsid w:val="00924D1E"/>
    <w:rsid w:val="00953A10"/>
    <w:rsid w:val="00967B84"/>
    <w:rsid w:val="0097091E"/>
    <w:rsid w:val="00972AB0"/>
    <w:rsid w:val="00973537"/>
    <w:rsid w:val="0097580F"/>
    <w:rsid w:val="009810FC"/>
    <w:rsid w:val="00982E08"/>
    <w:rsid w:val="00991053"/>
    <w:rsid w:val="0099161A"/>
    <w:rsid w:val="009917D4"/>
    <w:rsid w:val="00995655"/>
    <w:rsid w:val="00997105"/>
    <w:rsid w:val="009A009F"/>
    <w:rsid w:val="009A0ED8"/>
    <w:rsid w:val="009A2ABB"/>
    <w:rsid w:val="009A3FD8"/>
    <w:rsid w:val="009A41F9"/>
    <w:rsid w:val="009C1012"/>
    <w:rsid w:val="009C43C6"/>
    <w:rsid w:val="009C7DE5"/>
    <w:rsid w:val="009D0241"/>
    <w:rsid w:val="009D1F8F"/>
    <w:rsid w:val="009D3782"/>
    <w:rsid w:val="009D7C37"/>
    <w:rsid w:val="009E1703"/>
    <w:rsid w:val="009F036A"/>
    <w:rsid w:val="009F113B"/>
    <w:rsid w:val="009F33FE"/>
    <w:rsid w:val="009F6E9F"/>
    <w:rsid w:val="009F7F6B"/>
    <w:rsid w:val="00A028A2"/>
    <w:rsid w:val="00A02DAE"/>
    <w:rsid w:val="00A0378D"/>
    <w:rsid w:val="00A10576"/>
    <w:rsid w:val="00A11DF0"/>
    <w:rsid w:val="00A17007"/>
    <w:rsid w:val="00A20EC0"/>
    <w:rsid w:val="00A26F80"/>
    <w:rsid w:val="00A34490"/>
    <w:rsid w:val="00A37583"/>
    <w:rsid w:val="00A40FB4"/>
    <w:rsid w:val="00A41A24"/>
    <w:rsid w:val="00A47D13"/>
    <w:rsid w:val="00A57701"/>
    <w:rsid w:val="00A6188B"/>
    <w:rsid w:val="00A6224E"/>
    <w:rsid w:val="00A62BB4"/>
    <w:rsid w:val="00A653B3"/>
    <w:rsid w:val="00A70AFD"/>
    <w:rsid w:val="00A71288"/>
    <w:rsid w:val="00A72012"/>
    <w:rsid w:val="00A7773A"/>
    <w:rsid w:val="00A827E1"/>
    <w:rsid w:val="00A83E9D"/>
    <w:rsid w:val="00A9087C"/>
    <w:rsid w:val="00A92874"/>
    <w:rsid w:val="00AA1823"/>
    <w:rsid w:val="00AA3E6F"/>
    <w:rsid w:val="00AA3F7E"/>
    <w:rsid w:val="00AB068B"/>
    <w:rsid w:val="00AB229E"/>
    <w:rsid w:val="00AB26CA"/>
    <w:rsid w:val="00AC00E1"/>
    <w:rsid w:val="00AC14D7"/>
    <w:rsid w:val="00AC19DA"/>
    <w:rsid w:val="00AC46E2"/>
    <w:rsid w:val="00AD0B4D"/>
    <w:rsid w:val="00AD3C22"/>
    <w:rsid w:val="00AD4156"/>
    <w:rsid w:val="00AE2442"/>
    <w:rsid w:val="00AE3E7A"/>
    <w:rsid w:val="00AE4C68"/>
    <w:rsid w:val="00AE5331"/>
    <w:rsid w:val="00AE6596"/>
    <w:rsid w:val="00AE7B34"/>
    <w:rsid w:val="00AF0765"/>
    <w:rsid w:val="00AF201B"/>
    <w:rsid w:val="00AF442E"/>
    <w:rsid w:val="00AF631D"/>
    <w:rsid w:val="00B0089D"/>
    <w:rsid w:val="00B10EBC"/>
    <w:rsid w:val="00B22693"/>
    <w:rsid w:val="00B23B83"/>
    <w:rsid w:val="00B262EE"/>
    <w:rsid w:val="00B2654F"/>
    <w:rsid w:val="00B272A2"/>
    <w:rsid w:val="00B2745E"/>
    <w:rsid w:val="00B27644"/>
    <w:rsid w:val="00B34FB4"/>
    <w:rsid w:val="00B36B17"/>
    <w:rsid w:val="00B40F52"/>
    <w:rsid w:val="00B419CE"/>
    <w:rsid w:val="00B46702"/>
    <w:rsid w:val="00B46E4E"/>
    <w:rsid w:val="00B54417"/>
    <w:rsid w:val="00B62BA7"/>
    <w:rsid w:val="00B714F7"/>
    <w:rsid w:val="00B71A88"/>
    <w:rsid w:val="00B726FA"/>
    <w:rsid w:val="00B76B59"/>
    <w:rsid w:val="00B85C19"/>
    <w:rsid w:val="00B87374"/>
    <w:rsid w:val="00B971FD"/>
    <w:rsid w:val="00BA1B14"/>
    <w:rsid w:val="00BA2E6E"/>
    <w:rsid w:val="00BA6097"/>
    <w:rsid w:val="00BB5371"/>
    <w:rsid w:val="00BB6ED2"/>
    <w:rsid w:val="00BC2580"/>
    <w:rsid w:val="00BC4A2A"/>
    <w:rsid w:val="00BC7734"/>
    <w:rsid w:val="00BE2989"/>
    <w:rsid w:val="00BE513C"/>
    <w:rsid w:val="00BF09E1"/>
    <w:rsid w:val="00BF0A07"/>
    <w:rsid w:val="00BF46DC"/>
    <w:rsid w:val="00BF5D24"/>
    <w:rsid w:val="00C02F55"/>
    <w:rsid w:val="00C04409"/>
    <w:rsid w:val="00C06023"/>
    <w:rsid w:val="00C13F57"/>
    <w:rsid w:val="00C17CD8"/>
    <w:rsid w:val="00C24E45"/>
    <w:rsid w:val="00C25E2A"/>
    <w:rsid w:val="00C276C4"/>
    <w:rsid w:val="00C27EC0"/>
    <w:rsid w:val="00C31667"/>
    <w:rsid w:val="00C32920"/>
    <w:rsid w:val="00C363E3"/>
    <w:rsid w:val="00C36D01"/>
    <w:rsid w:val="00C401F1"/>
    <w:rsid w:val="00C40D84"/>
    <w:rsid w:val="00C64874"/>
    <w:rsid w:val="00C708A1"/>
    <w:rsid w:val="00C710B1"/>
    <w:rsid w:val="00C765C1"/>
    <w:rsid w:val="00C76C6C"/>
    <w:rsid w:val="00C80946"/>
    <w:rsid w:val="00C86E60"/>
    <w:rsid w:val="00C90F3E"/>
    <w:rsid w:val="00C912D9"/>
    <w:rsid w:val="00C96435"/>
    <w:rsid w:val="00C96B34"/>
    <w:rsid w:val="00C97490"/>
    <w:rsid w:val="00CA0B98"/>
    <w:rsid w:val="00CA19C7"/>
    <w:rsid w:val="00CA1A8C"/>
    <w:rsid w:val="00CB3A1F"/>
    <w:rsid w:val="00CC07EA"/>
    <w:rsid w:val="00CC75E1"/>
    <w:rsid w:val="00CD7C67"/>
    <w:rsid w:val="00CE03D5"/>
    <w:rsid w:val="00CE322D"/>
    <w:rsid w:val="00CF1974"/>
    <w:rsid w:val="00CF5D21"/>
    <w:rsid w:val="00D0340F"/>
    <w:rsid w:val="00D050F0"/>
    <w:rsid w:val="00D05FE5"/>
    <w:rsid w:val="00D11AF3"/>
    <w:rsid w:val="00D12787"/>
    <w:rsid w:val="00D14C0F"/>
    <w:rsid w:val="00D26F18"/>
    <w:rsid w:val="00D30EED"/>
    <w:rsid w:val="00D3269C"/>
    <w:rsid w:val="00D3394A"/>
    <w:rsid w:val="00D360AD"/>
    <w:rsid w:val="00D37324"/>
    <w:rsid w:val="00D37D30"/>
    <w:rsid w:val="00D42D1F"/>
    <w:rsid w:val="00D446D5"/>
    <w:rsid w:val="00D530F3"/>
    <w:rsid w:val="00D54BF9"/>
    <w:rsid w:val="00D54F79"/>
    <w:rsid w:val="00D669CA"/>
    <w:rsid w:val="00D70094"/>
    <w:rsid w:val="00D71B9D"/>
    <w:rsid w:val="00D71C48"/>
    <w:rsid w:val="00D73737"/>
    <w:rsid w:val="00D81BB7"/>
    <w:rsid w:val="00D903B6"/>
    <w:rsid w:val="00D94A36"/>
    <w:rsid w:val="00D955AF"/>
    <w:rsid w:val="00DA3A81"/>
    <w:rsid w:val="00DB5352"/>
    <w:rsid w:val="00DB56CF"/>
    <w:rsid w:val="00DB7595"/>
    <w:rsid w:val="00DC1862"/>
    <w:rsid w:val="00DC323A"/>
    <w:rsid w:val="00DC6555"/>
    <w:rsid w:val="00DD4028"/>
    <w:rsid w:val="00DD4E01"/>
    <w:rsid w:val="00DE176F"/>
    <w:rsid w:val="00DE5351"/>
    <w:rsid w:val="00DF1574"/>
    <w:rsid w:val="00DF279B"/>
    <w:rsid w:val="00DF49E0"/>
    <w:rsid w:val="00DF5D88"/>
    <w:rsid w:val="00DF60A4"/>
    <w:rsid w:val="00E0470A"/>
    <w:rsid w:val="00E0618D"/>
    <w:rsid w:val="00E06F65"/>
    <w:rsid w:val="00E2322C"/>
    <w:rsid w:val="00E24895"/>
    <w:rsid w:val="00E2679D"/>
    <w:rsid w:val="00E37098"/>
    <w:rsid w:val="00E44834"/>
    <w:rsid w:val="00E459CF"/>
    <w:rsid w:val="00E47199"/>
    <w:rsid w:val="00E47530"/>
    <w:rsid w:val="00E507BC"/>
    <w:rsid w:val="00E52B86"/>
    <w:rsid w:val="00E5425F"/>
    <w:rsid w:val="00E54537"/>
    <w:rsid w:val="00E5472E"/>
    <w:rsid w:val="00E54E5A"/>
    <w:rsid w:val="00E55BD9"/>
    <w:rsid w:val="00E621DE"/>
    <w:rsid w:val="00E63465"/>
    <w:rsid w:val="00E64D36"/>
    <w:rsid w:val="00E72805"/>
    <w:rsid w:val="00E81B10"/>
    <w:rsid w:val="00E828DE"/>
    <w:rsid w:val="00E85D5F"/>
    <w:rsid w:val="00E877B0"/>
    <w:rsid w:val="00E9372E"/>
    <w:rsid w:val="00E9651F"/>
    <w:rsid w:val="00EA15DC"/>
    <w:rsid w:val="00EA2FFF"/>
    <w:rsid w:val="00EB12E1"/>
    <w:rsid w:val="00EB1F05"/>
    <w:rsid w:val="00EB3972"/>
    <w:rsid w:val="00EB5181"/>
    <w:rsid w:val="00EB77C0"/>
    <w:rsid w:val="00EB7DFA"/>
    <w:rsid w:val="00ED1B42"/>
    <w:rsid w:val="00ED41DF"/>
    <w:rsid w:val="00F01B58"/>
    <w:rsid w:val="00F02C67"/>
    <w:rsid w:val="00F128E1"/>
    <w:rsid w:val="00F13953"/>
    <w:rsid w:val="00F13A4E"/>
    <w:rsid w:val="00F20E00"/>
    <w:rsid w:val="00F210C5"/>
    <w:rsid w:val="00F272F5"/>
    <w:rsid w:val="00F3547C"/>
    <w:rsid w:val="00F40E68"/>
    <w:rsid w:val="00F42B5F"/>
    <w:rsid w:val="00F45BF9"/>
    <w:rsid w:val="00F577B8"/>
    <w:rsid w:val="00F608F3"/>
    <w:rsid w:val="00F64E6B"/>
    <w:rsid w:val="00F6598F"/>
    <w:rsid w:val="00F81A65"/>
    <w:rsid w:val="00F860CE"/>
    <w:rsid w:val="00F97508"/>
    <w:rsid w:val="00FA40CB"/>
    <w:rsid w:val="00FA6BC4"/>
    <w:rsid w:val="00FB35AB"/>
    <w:rsid w:val="00FB5B68"/>
    <w:rsid w:val="00FC2401"/>
    <w:rsid w:val="00FC2825"/>
    <w:rsid w:val="00FD6115"/>
    <w:rsid w:val="00FE02CE"/>
    <w:rsid w:val="00FE0970"/>
    <w:rsid w:val="00FE7889"/>
    <w:rsid w:val="00FF6A28"/>
    <w:rsid w:val="00FF7FDD"/>
    <w:rsid w:val="01784FAE"/>
    <w:rsid w:val="02411AB9"/>
    <w:rsid w:val="036E5ACE"/>
    <w:rsid w:val="045A46D7"/>
    <w:rsid w:val="04F62134"/>
    <w:rsid w:val="06F53E3D"/>
    <w:rsid w:val="07F13FAE"/>
    <w:rsid w:val="086F3665"/>
    <w:rsid w:val="091B29D8"/>
    <w:rsid w:val="095A7724"/>
    <w:rsid w:val="09712ABC"/>
    <w:rsid w:val="09DC0C8E"/>
    <w:rsid w:val="0A405ADE"/>
    <w:rsid w:val="0AF02C43"/>
    <w:rsid w:val="0B83184E"/>
    <w:rsid w:val="0B8769D7"/>
    <w:rsid w:val="0C1E4A2F"/>
    <w:rsid w:val="0CD36378"/>
    <w:rsid w:val="0D29306A"/>
    <w:rsid w:val="0D3D0F36"/>
    <w:rsid w:val="0E370B89"/>
    <w:rsid w:val="0F696D55"/>
    <w:rsid w:val="100D7DF3"/>
    <w:rsid w:val="10841B04"/>
    <w:rsid w:val="11FF551A"/>
    <w:rsid w:val="122C565F"/>
    <w:rsid w:val="1277798E"/>
    <w:rsid w:val="127F52ED"/>
    <w:rsid w:val="12E526E7"/>
    <w:rsid w:val="133E6515"/>
    <w:rsid w:val="138E25FB"/>
    <w:rsid w:val="13FF58F2"/>
    <w:rsid w:val="143556B4"/>
    <w:rsid w:val="14C94AE0"/>
    <w:rsid w:val="15552272"/>
    <w:rsid w:val="15670902"/>
    <w:rsid w:val="157D344D"/>
    <w:rsid w:val="15977BC9"/>
    <w:rsid w:val="15C962CC"/>
    <w:rsid w:val="16094BB9"/>
    <w:rsid w:val="1636135F"/>
    <w:rsid w:val="16BE59A3"/>
    <w:rsid w:val="179238C2"/>
    <w:rsid w:val="18375EEC"/>
    <w:rsid w:val="18451E9C"/>
    <w:rsid w:val="198B6441"/>
    <w:rsid w:val="19B7311B"/>
    <w:rsid w:val="19C72AD7"/>
    <w:rsid w:val="1AE06E27"/>
    <w:rsid w:val="1B247AC3"/>
    <w:rsid w:val="1B6D668B"/>
    <w:rsid w:val="1BBE3B9F"/>
    <w:rsid w:val="1BBE499E"/>
    <w:rsid w:val="1CD83537"/>
    <w:rsid w:val="1D6923E1"/>
    <w:rsid w:val="1D8A2A83"/>
    <w:rsid w:val="1DE026A3"/>
    <w:rsid w:val="1EF33F6B"/>
    <w:rsid w:val="1F106FB8"/>
    <w:rsid w:val="211103B4"/>
    <w:rsid w:val="219F1468"/>
    <w:rsid w:val="21E604A4"/>
    <w:rsid w:val="225C42C2"/>
    <w:rsid w:val="22727213"/>
    <w:rsid w:val="22891CE6"/>
    <w:rsid w:val="238E2E63"/>
    <w:rsid w:val="260A3257"/>
    <w:rsid w:val="26A3506B"/>
    <w:rsid w:val="27D668C5"/>
    <w:rsid w:val="28E422ED"/>
    <w:rsid w:val="2A3854D0"/>
    <w:rsid w:val="2A496A6F"/>
    <w:rsid w:val="2B1D6727"/>
    <w:rsid w:val="2DB9081B"/>
    <w:rsid w:val="2E7964C2"/>
    <w:rsid w:val="2EE23C7A"/>
    <w:rsid w:val="2F3B1D8A"/>
    <w:rsid w:val="2F6824F8"/>
    <w:rsid w:val="30030C79"/>
    <w:rsid w:val="3034127C"/>
    <w:rsid w:val="30B17955"/>
    <w:rsid w:val="32673BB2"/>
    <w:rsid w:val="33B466E1"/>
    <w:rsid w:val="33C70685"/>
    <w:rsid w:val="33FC54A8"/>
    <w:rsid w:val="34C65E82"/>
    <w:rsid w:val="34CD6794"/>
    <w:rsid w:val="351033B6"/>
    <w:rsid w:val="3518510D"/>
    <w:rsid w:val="373553B6"/>
    <w:rsid w:val="3807472F"/>
    <w:rsid w:val="388B5983"/>
    <w:rsid w:val="38A322D3"/>
    <w:rsid w:val="39037B98"/>
    <w:rsid w:val="399602BB"/>
    <w:rsid w:val="3A0208F7"/>
    <w:rsid w:val="3AD81BE3"/>
    <w:rsid w:val="3AE80CB2"/>
    <w:rsid w:val="3B1D39E0"/>
    <w:rsid w:val="3B621827"/>
    <w:rsid w:val="3B7653A8"/>
    <w:rsid w:val="3BC94E97"/>
    <w:rsid w:val="3C14299D"/>
    <w:rsid w:val="3DBF38A8"/>
    <w:rsid w:val="3EDE2E31"/>
    <w:rsid w:val="3F112386"/>
    <w:rsid w:val="3F462059"/>
    <w:rsid w:val="3FEF3F72"/>
    <w:rsid w:val="401044A7"/>
    <w:rsid w:val="401776B5"/>
    <w:rsid w:val="40513A9B"/>
    <w:rsid w:val="40AF3A62"/>
    <w:rsid w:val="418F7450"/>
    <w:rsid w:val="41CA6156"/>
    <w:rsid w:val="425A3F23"/>
    <w:rsid w:val="428D00BE"/>
    <w:rsid w:val="437656C5"/>
    <w:rsid w:val="443F5506"/>
    <w:rsid w:val="444D01E4"/>
    <w:rsid w:val="454050A9"/>
    <w:rsid w:val="459A6978"/>
    <w:rsid w:val="45C81AEB"/>
    <w:rsid w:val="465D0F47"/>
    <w:rsid w:val="4662638F"/>
    <w:rsid w:val="46891BC8"/>
    <w:rsid w:val="470C691E"/>
    <w:rsid w:val="47D7186A"/>
    <w:rsid w:val="481D61BC"/>
    <w:rsid w:val="48DC7083"/>
    <w:rsid w:val="48ED35B0"/>
    <w:rsid w:val="49072EC0"/>
    <w:rsid w:val="49117305"/>
    <w:rsid w:val="495B1EA6"/>
    <w:rsid w:val="4A83494B"/>
    <w:rsid w:val="4B1267B9"/>
    <w:rsid w:val="4B5C7521"/>
    <w:rsid w:val="4B7E0B59"/>
    <w:rsid w:val="4BA1680A"/>
    <w:rsid w:val="4D830B3C"/>
    <w:rsid w:val="4E700716"/>
    <w:rsid w:val="4EDD06BA"/>
    <w:rsid w:val="4EFD6CDC"/>
    <w:rsid w:val="4F161CF3"/>
    <w:rsid w:val="4F360182"/>
    <w:rsid w:val="4F4864E4"/>
    <w:rsid w:val="4F4C48A4"/>
    <w:rsid w:val="4F94051C"/>
    <w:rsid w:val="4F9672A2"/>
    <w:rsid w:val="5027218D"/>
    <w:rsid w:val="522105B9"/>
    <w:rsid w:val="525E72C5"/>
    <w:rsid w:val="527B7CBB"/>
    <w:rsid w:val="52CB4EE4"/>
    <w:rsid w:val="53824C1F"/>
    <w:rsid w:val="53B45732"/>
    <w:rsid w:val="54F77CF7"/>
    <w:rsid w:val="55A15289"/>
    <w:rsid w:val="561B7A15"/>
    <w:rsid w:val="56CB4F97"/>
    <w:rsid w:val="56D3344A"/>
    <w:rsid w:val="56D50EBC"/>
    <w:rsid w:val="56E60023"/>
    <w:rsid w:val="57CD4B04"/>
    <w:rsid w:val="583110A7"/>
    <w:rsid w:val="583A7D04"/>
    <w:rsid w:val="58E37964"/>
    <w:rsid w:val="5A567846"/>
    <w:rsid w:val="5A682D95"/>
    <w:rsid w:val="5AFD5A55"/>
    <w:rsid w:val="5B232365"/>
    <w:rsid w:val="5B3B74EE"/>
    <w:rsid w:val="5B767BC7"/>
    <w:rsid w:val="5BA26C0E"/>
    <w:rsid w:val="5BB3647D"/>
    <w:rsid w:val="5CA60C53"/>
    <w:rsid w:val="5CBC5269"/>
    <w:rsid w:val="5CBC7FB4"/>
    <w:rsid w:val="5DA26FAD"/>
    <w:rsid w:val="5DD45079"/>
    <w:rsid w:val="5E4B3F43"/>
    <w:rsid w:val="5E557AE0"/>
    <w:rsid w:val="5E8F5931"/>
    <w:rsid w:val="5E941DB9"/>
    <w:rsid w:val="5EC60009"/>
    <w:rsid w:val="5F220723"/>
    <w:rsid w:val="5FE82423"/>
    <w:rsid w:val="606A3F3D"/>
    <w:rsid w:val="607A107A"/>
    <w:rsid w:val="60983693"/>
    <w:rsid w:val="60C55551"/>
    <w:rsid w:val="617A26B6"/>
    <w:rsid w:val="61857F0D"/>
    <w:rsid w:val="61CE461E"/>
    <w:rsid w:val="621E42D6"/>
    <w:rsid w:val="62724313"/>
    <w:rsid w:val="62CA40D4"/>
    <w:rsid w:val="63846BFA"/>
    <w:rsid w:val="638E7F62"/>
    <w:rsid w:val="63B95BA4"/>
    <w:rsid w:val="63E268F1"/>
    <w:rsid w:val="63E92BFA"/>
    <w:rsid w:val="641C6E32"/>
    <w:rsid w:val="6458542D"/>
    <w:rsid w:val="65E9543A"/>
    <w:rsid w:val="665E2C03"/>
    <w:rsid w:val="66994E12"/>
    <w:rsid w:val="67D61EEB"/>
    <w:rsid w:val="68BC3A77"/>
    <w:rsid w:val="69382A2C"/>
    <w:rsid w:val="6A3337AC"/>
    <w:rsid w:val="6C783074"/>
    <w:rsid w:val="6CD23598"/>
    <w:rsid w:val="6F563B40"/>
    <w:rsid w:val="6F7E7EFF"/>
    <w:rsid w:val="6FA0300D"/>
    <w:rsid w:val="6FEB5B12"/>
    <w:rsid w:val="701E2CFF"/>
    <w:rsid w:val="703C052B"/>
    <w:rsid w:val="70547956"/>
    <w:rsid w:val="70A3656C"/>
    <w:rsid w:val="71330988"/>
    <w:rsid w:val="718E3E69"/>
    <w:rsid w:val="71A943D4"/>
    <w:rsid w:val="71EF2146"/>
    <w:rsid w:val="72205E2D"/>
    <w:rsid w:val="72AC3A77"/>
    <w:rsid w:val="731301DE"/>
    <w:rsid w:val="7372081D"/>
    <w:rsid w:val="73792A82"/>
    <w:rsid w:val="73D07860"/>
    <w:rsid w:val="740828A2"/>
    <w:rsid w:val="7457466E"/>
    <w:rsid w:val="74774217"/>
    <w:rsid w:val="75DB226C"/>
    <w:rsid w:val="771672C3"/>
    <w:rsid w:val="77214B01"/>
    <w:rsid w:val="77723607"/>
    <w:rsid w:val="77E67A2B"/>
    <w:rsid w:val="78356BC8"/>
    <w:rsid w:val="78A14ADC"/>
    <w:rsid w:val="79E36412"/>
    <w:rsid w:val="7C030C87"/>
    <w:rsid w:val="7D092933"/>
    <w:rsid w:val="7DCE343B"/>
    <w:rsid w:val="7EAA67DC"/>
    <w:rsid w:val="7EDB4BD4"/>
    <w:rsid w:val="7F7A3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heme="minorBidi"/>
      <w:kern w:val="2"/>
      <w:sz w:val="21"/>
      <w:szCs w:val="22"/>
      <w:lang w:val="en-US" w:eastAsia="zh-CN" w:bidi="ar-SA"/>
    </w:rPr>
  </w:style>
  <w:style w:type="paragraph" w:styleId="3">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outlineLvl w:val="1"/>
    </w:pPr>
    <w:rPr>
      <w:rFonts w:ascii="Times New Roman" w:hAnsi="Times New Roman" w:eastAsia="黑体"/>
    </w:rPr>
  </w:style>
  <w:style w:type="paragraph" w:styleId="5">
    <w:name w:val="heading 3"/>
    <w:basedOn w:val="1"/>
    <w:next w:val="1"/>
    <w:unhideWhenUsed/>
    <w:qFormat/>
    <w:uiPriority w:val="0"/>
    <w:pPr>
      <w:keepNext/>
      <w:keepLines/>
      <w:spacing w:before="50" w:beforeLines="50" w:after="50" w:afterLines="50"/>
      <w:outlineLvl w:val="2"/>
    </w:pPr>
    <w:rPr>
      <w:rFonts w:ascii="Times New Roman" w:hAnsi="Times New Roman" w:eastAsia="黑体"/>
    </w:rPr>
  </w:style>
  <w:style w:type="paragraph" w:styleId="6">
    <w:name w:val="heading 4"/>
    <w:basedOn w:val="1"/>
    <w:next w:val="1"/>
    <w:unhideWhenUsed/>
    <w:qFormat/>
    <w:uiPriority w:val="0"/>
    <w:pPr>
      <w:keepNext/>
      <w:keepLines/>
      <w:outlineLvl w:val="3"/>
    </w:pPr>
    <w:rPr>
      <w:rFonts w:ascii="Times New Roman" w:hAnsi="Times New Roman" w:eastAsia="黑体"/>
    </w:rPr>
  </w:style>
  <w:style w:type="paragraph" w:styleId="7">
    <w:name w:val="heading 5"/>
    <w:basedOn w:val="1"/>
    <w:next w:val="1"/>
    <w:link w:val="61"/>
    <w:semiHidden/>
    <w:unhideWhenUsed/>
    <w:qFormat/>
    <w:uiPriority w:val="9"/>
    <w:pPr>
      <w:keepNext/>
      <w:keepLines/>
      <w:spacing w:before="280" w:after="290" w:line="376" w:lineRule="auto"/>
      <w:outlineLvl w:val="4"/>
    </w:pPr>
    <w:rPr>
      <w:b/>
      <w:bCs/>
      <w:sz w:val="28"/>
      <w:szCs w:val="28"/>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49"/>
    <w:semiHidden/>
    <w:unhideWhenUsed/>
    <w:qFormat/>
    <w:uiPriority w:val="99"/>
    <w:pPr>
      <w:jc w:val="left"/>
    </w:pPr>
  </w:style>
  <w:style w:type="paragraph" w:styleId="10">
    <w:name w:val="toc 3"/>
    <w:basedOn w:val="1"/>
    <w:next w:val="1"/>
    <w:unhideWhenUsed/>
    <w:qFormat/>
    <w:uiPriority w:val="39"/>
    <w:pPr>
      <w:ind w:left="200" w:leftChars="200"/>
    </w:pPr>
  </w:style>
  <w:style w:type="paragraph" w:styleId="11">
    <w:name w:val="footer"/>
    <w:basedOn w:val="1"/>
    <w:link w:val="28"/>
    <w:unhideWhenUsed/>
    <w:qFormat/>
    <w:uiPriority w:val="99"/>
    <w:pPr>
      <w:widowControl/>
      <w:tabs>
        <w:tab w:val="center" w:pos="4680"/>
        <w:tab w:val="right" w:pos="9360"/>
      </w:tabs>
      <w:jc w:val="left"/>
    </w:pPr>
    <w:rPr>
      <w:rFonts w:cs="Times New Roman"/>
      <w:kern w:val="0"/>
      <w:sz w:val="22"/>
    </w:rPr>
  </w:style>
  <w:style w:type="paragraph" w:styleId="12">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4"/>
    <w:autoRedefine/>
    <w:unhideWhenUsed/>
    <w:qFormat/>
    <w:uiPriority w:val="39"/>
    <w:pPr>
      <w:tabs>
        <w:tab w:val="right" w:leader="dot" w:pos="9344"/>
      </w:tabs>
      <w:spacing w:before="78" w:beforeLines="25" w:after="78" w:afterLines="25"/>
    </w:pPr>
  </w:style>
  <w:style w:type="paragraph" w:styleId="14">
    <w:name w:val="toc 2"/>
    <w:basedOn w:val="1"/>
    <w:next w:val="1"/>
    <w:autoRedefine/>
    <w:unhideWhenUsed/>
    <w:qFormat/>
    <w:uiPriority w:val="39"/>
    <w:pPr>
      <w:ind w:left="100" w:leftChars="100"/>
    </w:pPr>
  </w:style>
  <w:style w:type="paragraph" w:styleId="1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cs="Times New Roman"/>
      <w:kern w:val="0"/>
      <w:sz w:val="24"/>
      <w:szCs w:val="24"/>
    </w:rPr>
  </w:style>
  <w:style w:type="paragraph" w:styleId="16">
    <w:name w:val="Normal (Web)"/>
    <w:basedOn w:val="1"/>
    <w:unhideWhenUsed/>
    <w:qFormat/>
    <w:uiPriority w:val="99"/>
    <w:pPr>
      <w:spacing w:beforeAutospacing="1" w:afterAutospacing="1"/>
      <w:jc w:val="left"/>
    </w:pPr>
    <w:rPr>
      <w:rFonts w:cs="Times New Roman"/>
      <w:kern w:val="0"/>
      <w:sz w:val="24"/>
    </w:rPr>
  </w:style>
  <w:style w:type="paragraph" w:styleId="17">
    <w:name w:val="annotation subject"/>
    <w:basedOn w:val="9"/>
    <w:next w:val="9"/>
    <w:link w:val="50"/>
    <w:semiHidden/>
    <w:unhideWhenUsed/>
    <w:qFormat/>
    <w:uiPriority w:val="99"/>
    <w:rPr>
      <w:b/>
      <w:bCs/>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basedOn w:val="20"/>
    <w:unhideWhenUsed/>
    <w:qFormat/>
    <w:uiPriority w:val="99"/>
    <w:rPr>
      <w:color w:val="0000FF"/>
      <w:u w:val="single"/>
    </w:rPr>
  </w:style>
  <w:style w:type="character" w:styleId="23">
    <w:name w:val="annotation reference"/>
    <w:basedOn w:val="20"/>
    <w:semiHidden/>
    <w:unhideWhenUsed/>
    <w:qFormat/>
    <w:uiPriority w:val="99"/>
    <w:rPr>
      <w:sz w:val="21"/>
      <w:szCs w:val="21"/>
    </w:rPr>
  </w:style>
  <w:style w:type="paragraph" w:customStyle="1" w:styleId="24">
    <w:name w:val="表格内容"/>
    <w:basedOn w:val="25"/>
    <w:next w:val="25"/>
    <w:qFormat/>
    <w:uiPriority w:val="0"/>
    <w:pPr>
      <w:widowControl w:val="0"/>
    </w:pPr>
    <w:rPr>
      <w:rFonts w:cstheme="minorBidi"/>
      <w:snapToGrid w:val="0"/>
      <w:color w:val="000000"/>
      <w:kern w:val="2"/>
      <w:sz w:val="18"/>
      <w:szCs w:val="22"/>
      <w:lang w:eastAsia="en-US"/>
    </w:rPr>
  </w:style>
  <w:style w:type="paragraph" w:customStyle="1" w:styleId="25">
    <w:name w:val="段"/>
    <w:link w:val="29"/>
    <w:qFormat/>
    <w:uiPriority w:val="0"/>
    <w:pPr>
      <w:autoSpaceDE w:val="0"/>
      <w:autoSpaceDN w:val="0"/>
      <w:ind w:firstLine="200" w:firstLineChars="200"/>
      <w:jc w:val="both"/>
    </w:pPr>
    <w:rPr>
      <w:rFonts w:ascii="宋体" w:hAnsi="宋体" w:eastAsia="宋体" w:cs="Times New Roman"/>
      <w:sz w:val="21"/>
      <w:lang w:val="en-US" w:eastAsia="zh-CN" w:bidi="ar-SA"/>
    </w:rPr>
  </w:style>
  <w:style w:type="paragraph" w:customStyle="1" w:styleId="26">
    <w:name w:val="偶数页眉"/>
    <w:qFormat/>
    <w:uiPriority w:val="0"/>
    <w:rPr>
      <w:rFonts w:ascii="黑体" w:hAnsi="黑体" w:eastAsia="黑体" w:cs="Times New Roman"/>
      <w:sz w:val="21"/>
      <w:szCs w:val="21"/>
      <w:lang w:val="en-US" w:eastAsia="zh-CN" w:bidi="ar-SA"/>
    </w:rPr>
  </w:style>
  <w:style w:type="paragraph" w:customStyle="1" w:styleId="27">
    <w:name w:val="术语条目"/>
    <w:qFormat/>
    <w:uiPriority w:val="0"/>
    <w:rPr>
      <w:rFonts w:ascii="黑体" w:hAnsi="黑体" w:eastAsia="黑体" w:cs="Times New Roman"/>
      <w:sz w:val="21"/>
      <w:szCs w:val="21"/>
      <w:lang w:val="en-US" w:eastAsia="zh-CN" w:bidi="ar-SA"/>
    </w:rPr>
  </w:style>
  <w:style w:type="character" w:customStyle="1" w:styleId="28">
    <w:name w:val="页脚 字符"/>
    <w:basedOn w:val="20"/>
    <w:link w:val="11"/>
    <w:qFormat/>
    <w:uiPriority w:val="99"/>
    <w:rPr>
      <w:rFonts w:asciiTheme="minorHAnsi" w:hAnsiTheme="minorHAnsi" w:eastAsiaTheme="minorEastAsia"/>
      <w:sz w:val="22"/>
      <w:szCs w:val="22"/>
    </w:rPr>
  </w:style>
  <w:style w:type="character" w:customStyle="1" w:styleId="29">
    <w:name w:val="段 Char"/>
    <w:link w:val="25"/>
    <w:qFormat/>
    <w:uiPriority w:val="0"/>
    <w:rPr>
      <w:rFonts w:ascii="宋体" w:hAnsi="宋体"/>
      <w:sz w:val="21"/>
    </w:rPr>
  </w:style>
  <w:style w:type="paragraph" w:customStyle="1" w:styleId="30">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1">
    <w:name w:val="封面标准英文名称"/>
    <w:basedOn w:val="1"/>
    <w:qFormat/>
    <w:uiPriority w:val="0"/>
    <w:pPr>
      <w:framePr w:w="9639" w:h="6917" w:hRule="exact" w:wrap="around" w:vAnchor="page" w:hAnchor="page" w:x="849" w:y="5749" w:anchorLock="1"/>
      <w:spacing w:before="370" w:line="400" w:lineRule="exact"/>
      <w:jc w:val="center"/>
      <w:textAlignment w:val="center"/>
    </w:pPr>
    <w:rPr>
      <w:rFonts w:ascii="黑体" w:hAnsi="黑体" w:eastAsia="黑体" w:cs="Times New Roman"/>
      <w:kern w:val="0"/>
      <w:sz w:val="28"/>
      <w:szCs w:val="28"/>
    </w:rPr>
  </w:style>
  <w:style w:type="paragraph" w:customStyle="1" w:styleId="32">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33">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3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3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7">
    <w:name w:val="前言、引言标题"/>
    <w:next w:val="25"/>
    <w:qFormat/>
    <w:uiPriority w:val="0"/>
    <w:pPr>
      <w:keepNext/>
      <w:pageBreakBefore/>
      <w:shd w:val="clear" w:color="FFFFFF" w:fill="FFFFFF"/>
      <w:spacing w:before="567" w:after="680"/>
      <w:jc w:val="center"/>
      <w:outlineLvl w:val="0"/>
    </w:pPr>
    <w:rPr>
      <w:rFonts w:ascii="黑体" w:hAnsi="Times New Roman" w:eastAsia="黑体" w:cs="Times New Roman"/>
      <w:sz w:val="32"/>
      <w:lang w:val="en-US" w:eastAsia="zh-CN" w:bidi="ar-SA"/>
    </w:rPr>
  </w:style>
  <w:style w:type="paragraph" w:customStyle="1" w:styleId="38">
    <w:name w:val="一级条标题"/>
    <w:basedOn w:val="39"/>
    <w:next w:val="25"/>
    <w:qFormat/>
    <w:uiPriority w:val="0"/>
    <w:pPr>
      <w:keepNext/>
      <w:spacing w:before="156" w:beforeLines="50" w:after="156" w:afterLines="50"/>
      <w:jc w:val="left"/>
      <w:outlineLvl w:val="1"/>
    </w:pPr>
    <w:rPr>
      <w:szCs w:val="21"/>
    </w:rPr>
  </w:style>
  <w:style w:type="paragraph" w:customStyle="1" w:styleId="39">
    <w:name w:val="章标题"/>
    <w:next w:val="25"/>
    <w:qFormat/>
    <w:uiPriority w:val="0"/>
    <w:pPr>
      <w:spacing w:before="312" w:beforeLines="100" w:after="312" w:afterLines="100"/>
      <w:jc w:val="both"/>
      <w:outlineLvl w:val="0"/>
    </w:pPr>
    <w:rPr>
      <w:rFonts w:ascii="黑体" w:hAnsi="黑体" w:eastAsia="黑体" w:cs="Times New Roman"/>
      <w:sz w:val="21"/>
      <w:lang w:val="en-US" w:eastAsia="zh-CN" w:bidi="ar-SA"/>
    </w:rPr>
  </w:style>
  <w:style w:type="paragraph" w:customStyle="1" w:styleId="40">
    <w:name w:val="二级条标题"/>
    <w:basedOn w:val="38"/>
    <w:next w:val="25"/>
    <w:qFormat/>
    <w:uiPriority w:val="0"/>
    <w:pPr>
      <w:outlineLvl w:val="2"/>
    </w:pPr>
  </w:style>
  <w:style w:type="paragraph" w:customStyle="1" w:styleId="41">
    <w:name w:val="目次、标准名称标题"/>
    <w:basedOn w:val="1"/>
    <w:next w:val="25"/>
    <w:qFormat/>
    <w:uiPriority w:val="0"/>
    <w:pPr>
      <w:keepNext/>
      <w:pageBreakBefore/>
      <w:widowControl/>
      <w:shd w:val="clear" w:color="FFFFFF" w:fill="FFFFFF"/>
      <w:spacing w:before="567" w:after="680" w:line="460" w:lineRule="exact"/>
      <w:jc w:val="center"/>
    </w:pPr>
    <w:rPr>
      <w:rFonts w:ascii="黑体" w:hAnsi="黑体" w:eastAsia="黑体" w:cs="Times New Roman"/>
      <w:kern w:val="0"/>
      <w:sz w:val="32"/>
      <w:szCs w:val="20"/>
    </w:rPr>
  </w:style>
  <w:style w:type="paragraph" w:customStyle="1" w:styleId="42">
    <w:name w:val="三级条标题"/>
    <w:basedOn w:val="40"/>
    <w:next w:val="25"/>
    <w:qFormat/>
    <w:uiPriority w:val="0"/>
    <w:pPr>
      <w:outlineLvl w:val="4"/>
    </w:pPr>
  </w:style>
  <w:style w:type="paragraph" w:customStyle="1" w:styleId="43">
    <w:name w:val="四级条标题"/>
    <w:basedOn w:val="42"/>
    <w:next w:val="25"/>
    <w:qFormat/>
    <w:uiPriority w:val="0"/>
    <w:pPr>
      <w:outlineLvl w:val="5"/>
    </w:pPr>
  </w:style>
  <w:style w:type="paragraph" w:customStyle="1" w:styleId="44">
    <w:name w:val="五级条标题"/>
    <w:basedOn w:val="43"/>
    <w:next w:val="25"/>
    <w:qFormat/>
    <w:uiPriority w:val="0"/>
    <w:pPr>
      <w:outlineLvl w:val="6"/>
    </w:pPr>
  </w:style>
  <w:style w:type="paragraph" w:customStyle="1" w:styleId="45">
    <w:name w:val="正文表标题"/>
    <w:next w:val="25"/>
    <w:qFormat/>
    <w:uiPriority w:val="0"/>
    <w:pPr>
      <w:spacing w:before="156" w:beforeLines="50" w:after="156" w:afterLines="50"/>
      <w:jc w:val="center"/>
    </w:pPr>
    <w:rPr>
      <w:rFonts w:ascii="黑体" w:hAnsi="黑体" w:eastAsia="黑体" w:cs="Times New Roman"/>
      <w:sz w:val="21"/>
      <w:lang w:val="en-US" w:eastAsia="zh-CN" w:bidi="ar-SA"/>
    </w:rPr>
  </w:style>
  <w:style w:type="paragraph" w:customStyle="1" w:styleId="46">
    <w:name w:val="奇数页眉"/>
    <w:next w:val="1"/>
    <w:qFormat/>
    <w:uiPriority w:val="0"/>
    <w:pPr>
      <w:jc w:val="right"/>
    </w:pPr>
    <w:rPr>
      <w:rFonts w:ascii="黑体" w:hAnsi="黑体" w:eastAsia="黑体" w:cs="Times New Roman"/>
      <w:sz w:val="21"/>
      <w:szCs w:val="21"/>
      <w:lang w:val="en-US" w:eastAsia="zh-CN" w:bidi="ar-SA"/>
    </w:rPr>
  </w:style>
  <w:style w:type="paragraph" w:customStyle="1" w:styleId="47">
    <w:name w:val="二级无"/>
    <w:basedOn w:val="40"/>
    <w:autoRedefine/>
    <w:qFormat/>
    <w:uiPriority w:val="0"/>
    <w:rPr>
      <w:rFonts w:ascii="宋体" w:eastAsia="宋体"/>
    </w:rPr>
  </w:style>
  <w:style w:type="paragraph" w:customStyle="1" w:styleId="48">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9">
    <w:name w:val="批注文字 字符"/>
    <w:basedOn w:val="20"/>
    <w:link w:val="9"/>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7"/>
    <w:semiHidden/>
    <w:qFormat/>
    <w:uiPriority w:val="99"/>
    <w:rPr>
      <w:rFonts w:asciiTheme="minorHAnsi" w:hAnsiTheme="minorHAnsi" w:eastAsiaTheme="minorEastAsia" w:cstheme="minorBidi"/>
      <w:b/>
      <w:bCs/>
      <w:kern w:val="2"/>
      <w:sz w:val="21"/>
      <w:szCs w:val="22"/>
    </w:rPr>
  </w:style>
  <w:style w:type="paragraph" w:customStyle="1" w:styleId="5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styleId="53">
    <w:name w:val="List Paragraph"/>
    <w:basedOn w:val="1"/>
    <w:unhideWhenUsed/>
    <w:qFormat/>
    <w:uiPriority w:val="99"/>
    <w:pPr>
      <w:ind w:firstLine="420" w:firstLineChars="200"/>
    </w:pPr>
  </w:style>
  <w:style w:type="paragraph" w:customStyle="1" w:styleId="54">
    <w:name w:val="附录标题"/>
    <w:basedOn w:val="37"/>
    <w:next w:val="1"/>
    <w:qFormat/>
    <w:uiPriority w:val="0"/>
    <w:pPr>
      <w:spacing w:after="0"/>
    </w:pPr>
  </w:style>
  <w:style w:type="table" w:customStyle="1" w:styleId="55">
    <w:name w:val="Table Normal"/>
    <w:semiHidden/>
    <w:unhideWhenUsed/>
    <w:qFormat/>
    <w:uiPriority w:val="0"/>
    <w:pPr>
      <w:spacing w:after="160" w:line="278" w:lineRule="auto"/>
    </w:pPr>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56">
    <w:name w:val="Table Text"/>
    <w:basedOn w:val="1"/>
    <w:semiHidden/>
    <w:qFormat/>
    <w:uiPriority w:val="0"/>
    <w:pPr>
      <w:widowControl/>
      <w:kinsoku w:val="0"/>
      <w:autoSpaceDE w:val="0"/>
      <w:autoSpaceDN w:val="0"/>
      <w:adjustRightInd w:val="0"/>
      <w:snapToGrid w:val="0"/>
      <w:spacing w:after="160"/>
      <w:jc w:val="left"/>
      <w:textAlignment w:val="baseline"/>
    </w:pPr>
    <w:rPr>
      <w:rFonts w:ascii="微软雅黑" w:hAnsi="微软雅黑" w:eastAsia="微软雅黑" w:cs="微软雅黑"/>
      <w:snapToGrid w:val="0"/>
      <w:color w:val="000000"/>
      <w:kern w:val="0"/>
      <w:sz w:val="16"/>
      <w:szCs w:val="16"/>
      <w:lang w:eastAsia="en-US"/>
    </w:rPr>
  </w:style>
  <w:style w:type="character" w:customStyle="1" w:styleId="57">
    <w:name w:val="未处理的提及1"/>
    <w:basedOn w:val="20"/>
    <w:semiHidden/>
    <w:unhideWhenUsed/>
    <w:qFormat/>
    <w:uiPriority w:val="99"/>
    <w:rPr>
      <w:color w:val="605E5C"/>
      <w:shd w:val="clear" w:color="auto" w:fill="E1DFDD"/>
    </w:rPr>
  </w:style>
  <w:style w:type="paragraph" w:customStyle="1" w:styleId="58">
    <w:name w:val="奇数页码"/>
    <w:qFormat/>
    <w:uiPriority w:val="0"/>
    <w:pPr>
      <w:ind w:right="227"/>
      <w:jc w:val="right"/>
    </w:pPr>
    <w:rPr>
      <w:rFonts w:ascii="宋体" w:hAnsi="宋体" w:eastAsia="宋体" w:cstheme="minorBidi"/>
      <w:kern w:val="2"/>
      <w:sz w:val="18"/>
      <w:szCs w:val="18"/>
      <w:lang w:val="en-US" w:eastAsia="zh-CN" w:bidi="ar-SA"/>
    </w:rPr>
  </w:style>
  <w:style w:type="paragraph" w:customStyle="1" w:styleId="59">
    <w:name w:val="偶数页码"/>
    <w:qFormat/>
    <w:uiPriority w:val="0"/>
    <w:pPr>
      <w:ind w:left="227"/>
    </w:pPr>
    <w:rPr>
      <w:rFonts w:ascii="宋体" w:hAnsi="宋体" w:eastAsia="宋体" w:cstheme="minorBidi"/>
      <w:kern w:val="2"/>
      <w:sz w:val="18"/>
      <w:szCs w:val="18"/>
      <w:lang w:val="en-US" w:eastAsia="zh-CN" w:bidi="ar-SA"/>
    </w:rPr>
  </w:style>
  <w:style w:type="character" w:customStyle="1" w:styleId="60">
    <w:name w:val="标题 1 字符"/>
    <w:basedOn w:val="20"/>
    <w:link w:val="3"/>
    <w:qFormat/>
    <w:uiPriority w:val="9"/>
    <w:rPr>
      <w:rFonts w:asciiTheme="minorHAnsi" w:hAnsiTheme="minorHAnsi" w:eastAsiaTheme="minorEastAsia" w:cstheme="minorBidi"/>
      <w:b/>
      <w:bCs/>
      <w:kern w:val="44"/>
      <w:sz w:val="44"/>
      <w:szCs w:val="44"/>
    </w:rPr>
  </w:style>
  <w:style w:type="character" w:customStyle="1" w:styleId="61">
    <w:name w:val="标题 5 字符"/>
    <w:basedOn w:val="20"/>
    <w:link w:val="7"/>
    <w:semiHidden/>
    <w:qFormat/>
    <w:uiPriority w:val="9"/>
    <w:rPr>
      <w:rFonts w:ascii="宋体" w:hAnsi="宋体" w:cstheme="minorBidi"/>
      <w:b/>
      <w:bCs/>
      <w:kern w:val="2"/>
      <w:sz w:val="28"/>
      <w:szCs w:val="28"/>
    </w:rPr>
  </w:style>
  <w:style w:type="paragraph" w:customStyle="1" w:styleId="6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3">
    <w:name w:val="Revision"/>
    <w:hidden/>
    <w:unhideWhenUsed/>
    <w:qFormat/>
    <w:uiPriority w:val="99"/>
    <w:rPr>
      <w:rFonts w:ascii="宋体" w:hAnsi="宋体"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8.png"/><Relationship Id="rId34" Type="http://schemas.openxmlformats.org/officeDocument/2006/relationships/image" Target="media/image7.png"/><Relationship Id="rId33" Type="http://schemas.openxmlformats.org/officeDocument/2006/relationships/image" Target="media/image6.png"/><Relationship Id="rId32" Type="http://schemas.openxmlformats.org/officeDocument/2006/relationships/image" Target="media/image5.png"/><Relationship Id="rId31" Type="http://schemas.openxmlformats.org/officeDocument/2006/relationships/image" Target="media/image4.png"/><Relationship Id="rId30" Type="http://schemas.openxmlformats.org/officeDocument/2006/relationships/image" Target="media/image3.png"/><Relationship Id="rId3" Type="http://schemas.openxmlformats.org/officeDocument/2006/relationships/header" Target="header1.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EDED9-062C-471A-9BAE-4735BEA46285}">
  <ds:schemaRefs/>
</ds:datastoreItem>
</file>

<file path=docProps/app.xml><?xml version="1.0" encoding="utf-8"?>
<Properties xmlns="http://schemas.openxmlformats.org/officeDocument/2006/extended-properties" xmlns:vt="http://schemas.openxmlformats.org/officeDocument/2006/docPropsVTypes">
  <Template>Normal</Template>
  <Pages>14</Pages>
  <Words>2805</Words>
  <Characters>3087</Characters>
  <Lines>162</Lines>
  <Paragraphs>184</Paragraphs>
  <TotalTime>3</TotalTime>
  <ScaleCrop>false</ScaleCrop>
  <LinksUpToDate>false</LinksUpToDate>
  <CharactersWithSpaces>5708</CharactersWithSpaces>
  <Application>WPS Office_12.8.2.18676_F1E327BC-269C-435d-A152-05C5408002CA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2025-05-21T01:43:00Z</dcterms:created>
  <dc:creator>蔡 先生</dc:creator>
  <cp:lastModifiedBy>刘典云</cp:lastModifiedBy>
  <cp:lastPrinted>2025-03-07T02:19:00Z</cp:lastPrinted>
  <dcterms:modified xsi:type="dcterms:W3CDTF">2025-12-11T09:01:48Z</dcterms:modified>
  <cp:revision>464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2052-12.8.2.18676</vt:lpwstr>
  </property>
  <property fmtid="{D5CDD505-2E9C-101B-9397-08002B2CF9AE}" pid="3" name="ICV">
    <vt:lpwstr>FA28923A0B124C3BB9CC6D4F55D56882_13</vt:lpwstr>
  </property>
  <property fmtid="{D5CDD505-2E9C-101B-9397-08002B2CF9AE}" pid="4" name="KSOTemplateDocerSaveRecord">
    <vt:lpwstr>eyJoZGlkIjoiOGUwZjBiNjgxZjRhYmQ0N2JkMGQ3YmZkZjNmZWE5ZWQiLCJ1c2VySWQiOiIyOTc3OTkzOTgifQ==</vt:lpwstr>
  </property>
</Properties>
</file>