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216AFB">
      <w:pPr>
        <w:pStyle w:val="35"/>
        <w:framePr w:wrap="around" w:x="1393" w:y="5749"/>
      </w:pPr>
      <w:r>
        <w:rPr>
          <w:rFonts w:hint="eastAsia"/>
        </w:rPr>
        <w:t>应急柴油发电机组用抗氧化燃料</w:t>
      </w:r>
    </w:p>
    <w:p w14:paraId="1F120B9B">
      <w:pPr>
        <w:pStyle w:val="30"/>
        <w:framePr w:wrap="around" w:x="1393"/>
        <w:rPr>
          <w:rFonts w:hint="eastAsia"/>
        </w:rPr>
      </w:pPr>
      <w:bookmarkStart w:id="0" w:name="_Hlk103243066"/>
      <w:r>
        <w:rPr>
          <w:rFonts w:hint="eastAsia"/>
        </w:rPr>
        <w:t>Antioxidant Fuel for Emergency Diesel Generator Sets</w:t>
      </w:r>
    </w:p>
    <w:p w14:paraId="3D7B1578">
      <w:pPr>
        <w:pStyle w:val="31"/>
        <w:framePr w:wrap="around"/>
        <w:rPr>
          <w:rFonts w:hint="eastAsia" w:ascii="黑体" w:hAnsi="黑体"/>
        </w:rPr>
      </w:pPr>
      <w:r>
        <w:rPr>
          <w:rFonts w:hint="eastAsia" w:ascii="黑体" w:hAnsi="黑体"/>
        </w:rPr>
        <w:t>20XX</w:t>
      </w:r>
      <w:r>
        <w:rPr>
          <w:rFonts w:ascii="黑体" w:hAnsi="黑体"/>
        </w:rPr>
        <w:t>-</w:t>
      </w:r>
      <w:r>
        <w:rPr>
          <w:rFonts w:hint="eastAsia" w:ascii="黑体" w:hAnsi="黑体"/>
        </w:rPr>
        <w:t>XX</w:t>
      </w:r>
      <w:r>
        <w:rPr>
          <w:rFonts w:ascii="黑体" w:hAnsi="黑体"/>
        </w:rPr>
        <w:t>-</w:t>
      </w:r>
      <w:r>
        <w:rPr>
          <w:rFonts w:hint="eastAsia" w:ascii="黑体" w:hAnsi="黑体"/>
        </w:rPr>
        <w:t>XX发布</w:t>
      </w:r>
      <w:r>
        <w:rPr>
          <w:rFonts w:ascii="黑体" w:hAnsi="黑体"/>
        </w:rP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9251950</wp:posOffset>
                </wp:positionV>
                <wp:extent cx="6120130" cy="0"/>
                <wp:effectExtent l="13970" t="12700" r="9525" b="6350"/>
                <wp:wrapNone/>
                <wp:docPr id="3" name="Line 10"/>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0"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JYdrPNYAAAALAQAADwAAAAAAAAABACAAAAAiAAAAZHJzL2Rv&#10;d25yZXYueG1sUEsBAhQAFAAAAAgAh07iQFtSG4nKAQAAoAMAAA4AAAAAAAAAAQAgAAAAJQEAAGRy&#10;cy9lMm9Eb2MueG1sUEsFBgAAAAAGAAYAWQEAAGEFAAAAAA==&#10;">
                <v:fill on="f" focussize="0,0"/>
                <v:stroke color="#000000" joinstyle="round"/>
                <v:imagedata o:title=""/>
                <o:lock v:ext="edit" aspectratio="f"/>
                <w10:anchorlock/>
              </v:line>
            </w:pict>
          </mc:Fallback>
        </mc:AlternateContent>
      </w:r>
    </w:p>
    <w:p w14:paraId="35F37B01">
      <w:pPr>
        <w:pStyle w:val="32"/>
        <w:framePr w:wrap="around"/>
        <w:rPr>
          <w:rFonts w:hint="eastAsia" w:ascii="黑体" w:hAnsi="黑体"/>
        </w:rPr>
      </w:pPr>
      <w:r>
        <w:rPr>
          <w:rFonts w:hint="eastAsia" w:ascii="黑体" w:hAnsi="黑体"/>
        </w:rPr>
        <w:t>20XX</w:t>
      </w:r>
      <w:r>
        <w:rPr>
          <w:rFonts w:ascii="黑体" w:hAnsi="黑体"/>
        </w:rPr>
        <w:t>-</w:t>
      </w:r>
      <w:r>
        <w:rPr>
          <w:rFonts w:hint="eastAsia" w:ascii="黑体" w:hAnsi="黑体"/>
        </w:rPr>
        <w:t>XX</w:t>
      </w:r>
      <w:r>
        <w:rPr>
          <w:rFonts w:ascii="黑体" w:hAnsi="黑体"/>
        </w:rPr>
        <w:t>-</w:t>
      </w:r>
      <w:r>
        <w:rPr>
          <w:rFonts w:hint="eastAsia" w:ascii="黑体" w:hAnsi="黑体"/>
        </w:rPr>
        <w:t>XX实施</w:t>
      </w:r>
    </w:p>
    <w:p w14:paraId="58C2AA1B">
      <w:pPr>
        <w:pStyle w:val="29"/>
        <w:framePr w:wrap="around"/>
        <w:rPr>
          <w:rFonts w:hint="eastAsia" w:ascii="黑体" w:hAnsi="黑体" w:eastAsia="黑体"/>
          <w:b w:val="0"/>
        </w:rPr>
      </w:pPr>
      <w:r>
        <w:rPr>
          <w:rFonts w:hint="eastAsia" w:ascii="黑体" w:hAnsi="黑体" w:eastAsia="黑体"/>
          <w:b w:val="0"/>
          <w:spacing w:val="0"/>
          <w:szCs w:val="28"/>
        </w:rPr>
        <w:t>中国内燃机学会</w:t>
      </w:r>
      <w:r>
        <w:rPr>
          <w:rFonts w:hint="eastAsia" w:ascii="黑体" w:hAnsi="黑体" w:eastAsia="黑体"/>
          <w:b w:val="0"/>
          <w:spacing w:val="0"/>
          <w:sz w:val="44"/>
          <w:szCs w:val="44"/>
        </w:rPr>
        <w:t xml:space="preserve">  </w:t>
      </w:r>
      <w:r>
        <w:rPr>
          <w:rFonts w:hint="eastAsia" w:ascii="黑体" w:hAnsi="黑体" w:eastAsia="黑体"/>
          <w:b w:val="0"/>
          <w:spacing w:val="0"/>
          <w:szCs w:val="28"/>
        </w:rPr>
        <w:t>发布</w:t>
      </w:r>
    </w:p>
    <w:bookmarkEnd w:id="0"/>
    <w:p w14:paraId="3F04B85B">
      <w:pPr>
        <w:pStyle w:val="24"/>
        <w:ind w:firstLine="0" w:firstLineChars="0"/>
        <w:rPr>
          <w:rFonts w:hint="eastAsia" w:ascii="黑体" w:hAnsi="黑体" w:eastAsia="黑体"/>
        </w:rPr>
      </w:pPr>
      <w:r>
        <w:rPr>
          <w:rFonts w:ascii="黑体" w:hAnsi="黑体" w:eastAsia="黑体"/>
        </w:rPr>
        <w:t xml:space="preserve">ICS 27.020 </w:t>
      </w:r>
    </w:p>
    <w:p w14:paraId="33216023">
      <w:pPr>
        <w:pStyle w:val="34"/>
        <w:framePr w:h="1411" w:hRule="exact" w:wrap="around"/>
        <w:rPr>
          <w:rFonts w:hint="eastAsia" w:ascii="黑体" w:hAnsi="黑体" w:eastAsia="黑体"/>
          <w:b w:val="0"/>
          <w:spacing w:val="0"/>
          <w:w w:val="100"/>
          <w:sz w:val="84"/>
          <w:szCs w:val="84"/>
        </w:rPr>
      </w:pPr>
      <w:r>
        <w:rPr>
          <w:rFonts w:hint="eastAsia" w:ascii="黑体" w:hAnsi="黑体" w:eastAsia="黑体"/>
          <w:b w:val="0"/>
          <w:spacing w:val="0"/>
          <w:w w:val="100"/>
          <w:sz w:val="84"/>
          <w:szCs w:val="84"/>
        </w:rPr>
        <w:t>团体标准</w:t>
      </w:r>
    </w:p>
    <w:p w14:paraId="2271F9D4">
      <w:pPr>
        <w:pStyle w:val="33"/>
        <w:framePr w:wrap="around" w:y="3481"/>
        <w:wordWrap w:val="0"/>
        <w:rPr>
          <w:rFonts w:hint="eastAsia" w:hAnsi="黑体"/>
        </w:rPr>
      </w:pPr>
      <w:r>
        <w:rPr>
          <w:rFonts w:hint="eastAsia" w:hAnsi="黑体"/>
        </w:rPr>
        <w:t>T</w:t>
      </w:r>
      <w:r>
        <w:rPr>
          <w:rFonts w:hAnsi="黑体"/>
        </w:rPr>
        <w:t xml:space="preserve">/CSICE </w:t>
      </w:r>
      <w:r>
        <w:rPr>
          <w:rFonts w:hint="eastAsia" w:hAnsi="黑体"/>
        </w:rPr>
        <w:t>XXXX-</w:t>
      </w:r>
      <w:r>
        <w:rPr>
          <w:rFonts w:hAnsi="黑体"/>
        </w:rPr>
        <w:t>20</w:t>
      </w:r>
      <w:r>
        <w:rPr>
          <w:rFonts w:hint="eastAsia" w:hAnsi="黑体"/>
        </w:rPr>
        <w:t>XX</w:t>
      </w:r>
    </w:p>
    <w:p w14:paraId="098A0F10">
      <w:pPr>
        <w:pStyle w:val="33"/>
        <w:framePr w:wrap="around" w:y="3481"/>
      </w:pPr>
    </w:p>
    <w:p w14:paraId="10709283">
      <w:pPr>
        <w:pStyle w:val="33"/>
        <w:framePr w:wrap="around" w:y="3481"/>
      </w:pPr>
    </w:p>
    <w:p w14:paraId="49B159D2">
      <w:pPr>
        <w:pStyle w:val="24"/>
        <w:ind w:firstLine="0" w:firstLineChars="0"/>
        <w:rPr>
          <w:rFonts w:hint="eastAsia" w:ascii="黑体" w:hAnsi="黑体" w:eastAsia="黑体"/>
        </w:rPr>
      </w:pPr>
      <w:r>
        <w:rPr>
          <w:rFonts w:ascii="黑体" w:hAnsi="黑体" w:eastAsia="黑体"/>
        </w:rPr>
        <w:t>CCS J 92</w:t>
      </w:r>
      <w:r>
        <w:rPr>
          <w:rFonts w:ascii="黑体" w:hAnsi="黑体" w:eastAsia="黑体"/>
        </w:rP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2339975</wp:posOffset>
                </wp:positionV>
                <wp:extent cx="6120130" cy="0"/>
                <wp:effectExtent l="13970" t="12065" r="9525" b="6985"/>
                <wp:wrapNone/>
                <wp:docPr id="2" name="Line 1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1" o:spid="_x0000_s1026" o:spt="20" style="position:absolute;left:0pt;margin-left:-0.05pt;margin-top:184.25pt;height:0pt;width:481.9pt;z-index:25166028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CQeJf1wAAAAkBAAAPAAAAAAAAAAEAIAAAACIAAABkcnMvZG93&#10;bnJldi54bWxQSwECFAAUAAAACACHTuJA3SaJLsgBAACgAwAADgAAAAAAAAABACAAAAAmAQAAZHJz&#10;L2Uyb0RvYy54bWxQSwUGAAAAAAYABgBZAQAAYAUAAAAA&#10;">
                <v:fill on="f" focussize="0,0"/>
                <v:stroke color="#000000" joinstyle="round"/>
                <v:imagedata o:title=""/>
                <o:lock v:ext="edit" aspectratio="f"/>
              </v:line>
            </w:pict>
          </mc:Fallback>
        </mc:AlternateContent>
      </w:r>
    </w:p>
    <w:p w14:paraId="33CFA9E7">
      <w:pPr>
        <w:pStyle w:val="24"/>
        <w:ind w:firstLine="420"/>
        <w:rPr>
          <w:rFonts w:hint="eastAsia"/>
        </w:rPr>
        <w:sectPr>
          <w:headerReference r:id="rId5" w:type="first"/>
          <w:footerReference r:id="rId8" w:type="first"/>
          <w:headerReference r:id="rId3" w:type="default"/>
          <w:footerReference r:id="rId6" w:type="default"/>
          <w:headerReference r:id="rId4" w:type="even"/>
          <w:footerReference r:id="rId7" w:type="even"/>
          <w:pgSz w:w="11906" w:h="16838"/>
          <w:pgMar w:top="567" w:right="1134" w:bottom="1134" w:left="1418" w:header="567" w:footer="1134" w:gutter="0"/>
          <w:pgBorders>
            <w:top w:val="none" w:sz="0" w:space="0"/>
            <w:left w:val="none" w:sz="0" w:space="0"/>
            <w:bottom w:val="none" w:sz="0" w:space="0"/>
            <w:right w:val="none" w:sz="0" w:space="0"/>
          </w:pgBorders>
          <w:cols w:space="425" w:num="1"/>
          <w:titlePg/>
          <w:docGrid w:type="lines" w:linePitch="312" w:charSpace="0"/>
        </w:sectPr>
      </w:pPr>
      <w:r>
        <mc:AlternateContent>
          <mc:Choice Requires="wps">
            <w:drawing>
              <wp:anchor distT="0" distB="0" distL="114300" distR="114300" simplePos="0" relativeHeight="251661312" behindDoc="0" locked="1" layoutInCell="1" allowOverlap="1">
                <wp:simplePos x="0" y="0"/>
                <wp:positionH relativeFrom="column">
                  <wp:posOffset>-635</wp:posOffset>
                </wp:positionH>
                <wp:positionV relativeFrom="page">
                  <wp:posOffset>9251950</wp:posOffset>
                </wp:positionV>
                <wp:extent cx="6120130" cy="0"/>
                <wp:effectExtent l="0" t="0" r="0" b="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0.05pt;margin-top:728.5pt;height:0pt;width:481.9pt;mso-position-vertical-relative:page;z-index:251661312;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JYdrPNYAAAALAQAA&#10;DwAAAAAAAAABACAAAAAiAAAAZHJzL2Rvd25yZXYueG1sUEsBAhQAFAAAAAgAh07iQE3UVwTiAQAA&#10;qgMAAA4AAAAAAAAAAQAgAAAAJQEAAGRycy9lMm9Eb2MueG1sUEsFBgAAAAAGAAYAWQEAAHkFAAAA&#10;AA==&#10;">
                <v:fill on="f" focussize="0,0"/>
                <v:stroke color="#000000" joinstyle="round"/>
                <v:imagedata o:title=""/>
                <o:lock v:ext="edit" aspectratio="f"/>
                <w10:anchorlock/>
              </v:line>
            </w:pict>
          </mc:Fallback>
        </mc:AlternateContent>
      </w:r>
      <w:r>
        <w:t xml:space="preserve"> </w:t>
      </w:r>
    </w:p>
    <w:p w14:paraId="40B5C9E0">
      <w:pPr>
        <w:pStyle w:val="36"/>
      </w:pPr>
    </w:p>
    <w:p w14:paraId="190E70BE">
      <w:pPr>
        <w:pStyle w:val="24"/>
        <w:ind w:firstLine="420"/>
        <w:rPr>
          <w:rFonts w:hint="eastAsia"/>
        </w:rPr>
        <w:sectPr>
          <w:headerReference r:id="rId10" w:type="first"/>
          <w:footerReference r:id="rId12" w:type="first"/>
          <w:headerReference r:id="rId9" w:type="default"/>
          <w:footerReference r:id="rId11" w:type="default"/>
          <w:pgSz w:w="11906" w:h="16838"/>
          <w:pgMar w:top="1418" w:right="1134" w:bottom="1134" w:left="1418" w:header="1418" w:footer="1134" w:gutter="0"/>
          <w:pgBorders>
            <w:top w:val="none" w:sz="0" w:space="0"/>
            <w:left w:val="none" w:sz="0" w:space="0"/>
            <w:bottom w:val="none" w:sz="0" w:space="0"/>
            <w:right w:val="none" w:sz="0" w:space="0"/>
          </w:pgBorders>
          <w:pgNumType w:fmt="upperRoman" w:start="1"/>
          <w:cols w:space="425" w:num="1"/>
          <w:titlePg/>
          <w:docGrid w:type="lines" w:linePitch="312" w:charSpace="0"/>
        </w:sectPr>
      </w:pPr>
    </w:p>
    <w:p w14:paraId="4FA2A155">
      <w:pPr>
        <w:pStyle w:val="40"/>
        <w:rPr>
          <w:rFonts w:hint="eastAsia"/>
        </w:rPr>
      </w:pPr>
      <w:bookmarkStart w:id="1" w:name="_Toc198645075"/>
      <w:bookmarkStart w:id="2" w:name="_Toc198644988"/>
      <w:bookmarkStart w:id="3" w:name="_Toc198646020"/>
      <w:r>
        <w:rPr>
          <w:rFonts w:hint="eastAsia"/>
        </w:rPr>
        <w:t>目　　次</w:t>
      </w:r>
      <w:bookmarkEnd w:id="1"/>
      <w:bookmarkEnd w:id="2"/>
      <w:bookmarkEnd w:id="3"/>
    </w:p>
    <w:p w14:paraId="370ECF2B">
      <w:pPr>
        <w:pStyle w:val="12"/>
        <w:tabs>
          <w:tab w:val="right" w:leader="dot" w:pos="9354"/>
          <w:tab w:val="clear" w:pos="9344"/>
        </w:tabs>
      </w:pPr>
      <w:r>
        <w:fldChar w:fldCharType="begin"/>
      </w:r>
      <w:r>
        <w:instrText xml:space="preserve"> TOC \o "1-3" \h \z \u </w:instrText>
      </w:r>
      <w:r>
        <w:fldChar w:fldCharType="separate"/>
      </w:r>
      <w:r>
        <w:fldChar w:fldCharType="begin"/>
      </w:r>
      <w:r>
        <w:instrText xml:space="preserve"> HYPERLINK \l _Toc14858 </w:instrText>
      </w:r>
      <w:r>
        <w:fldChar w:fldCharType="separate"/>
      </w:r>
      <w:r>
        <w:rPr>
          <w:rFonts w:hint="eastAsia"/>
        </w:rPr>
        <w:t>前</w:t>
      </w:r>
      <w:r>
        <w:rPr>
          <w:rFonts w:hAnsi="黑体"/>
        </w:rPr>
        <w:t>  </w:t>
      </w:r>
      <w:r>
        <w:rPr>
          <w:rFonts w:hint="eastAsia"/>
        </w:rPr>
        <w:t>言</w:t>
      </w:r>
      <w:r>
        <w:tab/>
      </w:r>
      <w:r>
        <w:fldChar w:fldCharType="begin"/>
      </w:r>
      <w:r>
        <w:instrText xml:space="preserve"> PAGEREF _Toc14858 \h </w:instrText>
      </w:r>
      <w:r>
        <w:fldChar w:fldCharType="separate"/>
      </w:r>
      <w:r>
        <w:t>III</w:t>
      </w:r>
      <w:r>
        <w:fldChar w:fldCharType="end"/>
      </w:r>
      <w:r>
        <w:fldChar w:fldCharType="end"/>
      </w:r>
    </w:p>
    <w:p w14:paraId="7A1F0519">
      <w:pPr>
        <w:pStyle w:val="12"/>
        <w:tabs>
          <w:tab w:val="right" w:leader="dot" w:pos="9354"/>
          <w:tab w:val="clear" w:pos="9344"/>
        </w:tabs>
      </w:pPr>
      <w:r>
        <w:fldChar w:fldCharType="begin"/>
      </w:r>
      <w:r>
        <w:instrText xml:space="preserve"> HYPERLINK \l _Toc7619 </w:instrText>
      </w:r>
      <w:r>
        <w:fldChar w:fldCharType="separate"/>
      </w:r>
      <w:r>
        <w:rPr>
          <w:rFonts w:hint="eastAsia"/>
        </w:rPr>
        <w:t>1　范围</w:t>
      </w:r>
      <w:r>
        <w:tab/>
      </w:r>
      <w:r>
        <w:fldChar w:fldCharType="begin"/>
      </w:r>
      <w:r>
        <w:instrText xml:space="preserve"> PAGEREF _Toc7619 \h </w:instrText>
      </w:r>
      <w:r>
        <w:fldChar w:fldCharType="separate"/>
      </w:r>
      <w:r>
        <w:t>1</w:t>
      </w:r>
      <w:r>
        <w:fldChar w:fldCharType="end"/>
      </w:r>
      <w:r>
        <w:fldChar w:fldCharType="end"/>
      </w:r>
    </w:p>
    <w:p w14:paraId="78946203">
      <w:pPr>
        <w:pStyle w:val="12"/>
        <w:tabs>
          <w:tab w:val="right" w:leader="dot" w:pos="9354"/>
          <w:tab w:val="clear" w:pos="9344"/>
        </w:tabs>
      </w:pPr>
      <w:r>
        <w:fldChar w:fldCharType="begin"/>
      </w:r>
      <w:r>
        <w:instrText xml:space="preserve"> HYPERLINK \l _Toc15005 </w:instrText>
      </w:r>
      <w:r>
        <w:fldChar w:fldCharType="separate"/>
      </w:r>
      <w:r>
        <w:rPr>
          <w:rFonts w:hint="eastAsia"/>
        </w:rPr>
        <w:t>2　规范性引用文件</w:t>
      </w:r>
      <w:r>
        <w:tab/>
      </w:r>
      <w:r>
        <w:fldChar w:fldCharType="begin"/>
      </w:r>
      <w:r>
        <w:instrText xml:space="preserve"> PAGEREF _Toc15005 \h </w:instrText>
      </w:r>
      <w:r>
        <w:fldChar w:fldCharType="separate"/>
      </w:r>
      <w:r>
        <w:t>1</w:t>
      </w:r>
      <w:r>
        <w:fldChar w:fldCharType="end"/>
      </w:r>
      <w:r>
        <w:fldChar w:fldCharType="end"/>
      </w:r>
    </w:p>
    <w:p w14:paraId="49C33024">
      <w:pPr>
        <w:pStyle w:val="12"/>
        <w:tabs>
          <w:tab w:val="right" w:leader="dot" w:pos="9354"/>
          <w:tab w:val="clear" w:pos="9344"/>
        </w:tabs>
      </w:pPr>
      <w:r>
        <w:fldChar w:fldCharType="begin"/>
      </w:r>
      <w:r>
        <w:instrText xml:space="preserve"> HYPERLINK \l _Toc5170 </w:instrText>
      </w:r>
      <w:r>
        <w:fldChar w:fldCharType="separate"/>
      </w:r>
      <w:r>
        <w:rPr>
          <w:rFonts w:hint="eastAsia"/>
        </w:rPr>
        <w:t>3　术语和定义</w:t>
      </w:r>
      <w:r>
        <w:tab/>
      </w:r>
      <w:r>
        <w:fldChar w:fldCharType="begin"/>
      </w:r>
      <w:r>
        <w:instrText xml:space="preserve"> PAGEREF _Toc5170 \h </w:instrText>
      </w:r>
      <w:r>
        <w:fldChar w:fldCharType="separate"/>
      </w:r>
      <w:r>
        <w:t>2</w:t>
      </w:r>
      <w:r>
        <w:fldChar w:fldCharType="end"/>
      </w:r>
      <w:r>
        <w:fldChar w:fldCharType="end"/>
      </w:r>
    </w:p>
    <w:p w14:paraId="2D0A4C58">
      <w:pPr>
        <w:pStyle w:val="13"/>
        <w:tabs>
          <w:tab w:val="right" w:leader="dot" w:pos="9354"/>
        </w:tabs>
      </w:pPr>
      <w:r>
        <w:fldChar w:fldCharType="begin"/>
      </w:r>
      <w:r>
        <w:instrText xml:space="preserve"> HYPERLINK \l _Toc7802 </w:instrText>
      </w:r>
      <w:r>
        <w:fldChar w:fldCharType="separate"/>
      </w:r>
      <w:r>
        <w:rPr>
          <w:rFonts w:hint="eastAsia"/>
        </w:rPr>
        <w:t>3.1</w:t>
      </w:r>
      <w:r>
        <w:tab/>
      </w:r>
      <w:r>
        <w:fldChar w:fldCharType="begin"/>
      </w:r>
      <w:r>
        <w:instrText xml:space="preserve"> PAGEREF _Toc7802 \h </w:instrText>
      </w:r>
      <w:r>
        <w:fldChar w:fldCharType="separate"/>
      </w:r>
      <w:r>
        <w:t>2</w:t>
      </w:r>
      <w:r>
        <w:fldChar w:fldCharType="end"/>
      </w:r>
      <w:r>
        <w:fldChar w:fldCharType="end"/>
      </w:r>
    </w:p>
    <w:p w14:paraId="51AB68E0">
      <w:pPr>
        <w:pStyle w:val="12"/>
        <w:tabs>
          <w:tab w:val="right" w:leader="dot" w:pos="9354"/>
          <w:tab w:val="clear" w:pos="9344"/>
        </w:tabs>
      </w:pPr>
      <w:r>
        <w:fldChar w:fldCharType="begin"/>
      </w:r>
      <w:r>
        <w:instrText xml:space="preserve"> HYPERLINK \l _Toc1085 </w:instrText>
      </w:r>
      <w:r>
        <w:fldChar w:fldCharType="separate"/>
      </w:r>
      <w:r>
        <w:rPr>
          <w:rFonts w:hint="eastAsia"/>
        </w:rPr>
        <w:t>4　产品类型</w:t>
      </w:r>
      <w:r>
        <w:tab/>
      </w:r>
      <w:r>
        <w:fldChar w:fldCharType="begin"/>
      </w:r>
      <w:r>
        <w:instrText xml:space="preserve"> PAGEREF _Toc1085 \h </w:instrText>
      </w:r>
      <w:r>
        <w:fldChar w:fldCharType="separate"/>
      </w:r>
      <w:r>
        <w:t>2</w:t>
      </w:r>
      <w:r>
        <w:fldChar w:fldCharType="end"/>
      </w:r>
      <w:r>
        <w:fldChar w:fldCharType="end"/>
      </w:r>
    </w:p>
    <w:p w14:paraId="313758B9">
      <w:pPr>
        <w:pStyle w:val="13"/>
        <w:tabs>
          <w:tab w:val="right" w:leader="dot" w:pos="9354"/>
        </w:tabs>
      </w:pPr>
      <w:r>
        <w:fldChar w:fldCharType="begin"/>
      </w:r>
      <w:r>
        <w:instrText xml:space="preserve"> HYPERLINK \l _Toc10255 </w:instrText>
      </w:r>
      <w:r>
        <w:fldChar w:fldCharType="separate"/>
      </w:r>
      <w:r>
        <w:rPr>
          <w:rFonts w:hint="eastAsia"/>
        </w:rPr>
        <w:t>4.1　要素的分类</w:t>
      </w:r>
      <w:r>
        <w:tab/>
      </w:r>
      <w:r>
        <w:fldChar w:fldCharType="begin"/>
      </w:r>
      <w:r>
        <w:instrText xml:space="preserve"> PAGEREF _Toc10255 \h </w:instrText>
      </w:r>
      <w:r>
        <w:fldChar w:fldCharType="separate"/>
      </w:r>
      <w:r>
        <w:t>2</w:t>
      </w:r>
      <w:r>
        <w:fldChar w:fldCharType="end"/>
      </w:r>
      <w:r>
        <w:fldChar w:fldCharType="end"/>
      </w:r>
    </w:p>
    <w:p w14:paraId="717130AF">
      <w:pPr>
        <w:pStyle w:val="12"/>
        <w:tabs>
          <w:tab w:val="right" w:leader="dot" w:pos="9354"/>
          <w:tab w:val="clear" w:pos="9344"/>
        </w:tabs>
      </w:pPr>
      <w:r>
        <w:fldChar w:fldCharType="begin"/>
      </w:r>
      <w:r>
        <w:instrText xml:space="preserve"> HYPERLINK \l _Toc21623 </w:instrText>
      </w:r>
      <w:r>
        <w:fldChar w:fldCharType="separate"/>
      </w:r>
      <w:r>
        <w:rPr>
          <w:rFonts w:hint="eastAsia"/>
        </w:rPr>
        <w:t>5　技术要求和试验方法</w:t>
      </w:r>
      <w:r>
        <w:tab/>
      </w:r>
      <w:r>
        <w:fldChar w:fldCharType="begin"/>
      </w:r>
      <w:r>
        <w:instrText xml:space="preserve"> PAGEREF _Toc21623 \h </w:instrText>
      </w:r>
      <w:r>
        <w:fldChar w:fldCharType="separate"/>
      </w:r>
      <w:r>
        <w:t>2</w:t>
      </w:r>
      <w:r>
        <w:fldChar w:fldCharType="end"/>
      </w:r>
      <w:r>
        <w:fldChar w:fldCharType="end"/>
      </w:r>
    </w:p>
    <w:p w14:paraId="32811E18">
      <w:pPr>
        <w:pStyle w:val="12"/>
        <w:tabs>
          <w:tab w:val="right" w:leader="dot" w:pos="9354"/>
          <w:tab w:val="clear" w:pos="9344"/>
        </w:tabs>
      </w:pPr>
      <w:r>
        <w:fldChar w:fldCharType="begin"/>
      </w:r>
      <w:r>
        <w:instrText xml:space="preserve"> HYPERLINK \l _Toc538 </w:instrText>
      </w:r>
      <w:r>
        <w:fldChar w:fldCharType="separate"/>
      </w:r>
      <w:r>
        <w:rPr>
          <w:rFonts w:hint="eastAsia" w:cs="Times New Roman"/>
          <w:lang w:val="en-US" w:eastAsia="zh-CN"/>
        </w:rPr>
        <w:t>6</w:t>
      </w:r>
      <w:r>
        <w:rPr>
          <w:rFonts w:hint="eastAsia"/>
        </w:rPr>
        <w:t>　</w:t>
      </w:r>
      <w:r>
        <w:rPr>
          <w:rFonts w:hint="default" w:cs="Times New Roman"/>
        </w:rPr>
        <w:t>取样</w:t>
      </w:r>
      <w:r>
        <w:tab/>
      </w:r>
      <w:r>
        <w:fldChar w:fldCharType="begin"/>
      </w:r>
      <w:r>
        <w:instrText xml:space="preserve"> PAGEREF _Toc538 \h </w:instrText>
      </w:r>
      <w:r>
        <w:fldChar w:fldCharType="separate"/>
      </w:r>
      <w:r>
        <w:t>4</w:t>
      </w:r>
      <w:r>
        <w:fldChar w:fldCharType="end"/>
      </w:r>
      <w:r>
        <w:fldChar w:fldCharType="end"/>
      </w:r>
    </w:p>
    <w:p w14:paraId="28B0F8AC">
      <w:pPr>
        <w:pStyle w:val="12"/>
        <w:tabs>
          <w:tab w:val="right" w:leader="dot" w:pos="9354"/>
          <w:tab w:val="clear" w:pos="9344"/>
        </w:tabs>
      </w:pPr>
      <w:r>
        <w:fldChar w:fldCharType="begin"/>
      </w:r>
      <w:r>
        <w:instrText xml:space="preserve"> HYPERLINK \l _Toc12619 </w:instrText>
      </w:r>
      <w:r>
        <w:fldChar w:fldCharType="separate"/>
      </w:r>
      <w:r>
        <w:rPr>
          <w:rFonts w:hint="eastAsia" w:cs="Times New Roman"/>
          <w:lang w:val="en-US" w:eastAsia="zh-CN"/>
        </w:rPr>
        <w:t>7</w:t>
      </w:r>
      <w:r>
        <w:rPr>
          <w:rFonts w:hint="eastAsia"/>
        </w:rPr>
        <w:t>　</w:t>
      </w:r>
      <w:r>
        <w:rPr>
          <w:rFonts w:hint="default" w:cs="Times New Roman"/>
          <w:lang w:val="en-US" w:eastAsia="zh-CN"/>
        </w:rPr>
        <w:t>标志、包装、运输和贮存</w:t>
      </w:r>
      <w:r>
        <w:tab/>
      </w:r>
      <w:r>
        <w:fldChar w:fldCharType="begin"/>
      </w:r>
      <w:r>
        <w:instrText xml:space="preserve"> PAGEREF _Toc12619 \h </w:instrText>
      </w:r>
      <w:r>
        <w:fldChar w:fldCharType="separate"/>
      </w:r>
      <w:r>
        <w:t>4</w:t>
      </w:r>
      <w:r>
        <w:fldChar w:fldCharType="end"/>
      </w:r>
      <w:r>
        <w:fldChar w:fldCharType="end"/>
      </w:r>
    </w:p>
    <w:p w14:paraId="7CBF6A1D">
      <w:pPr>
        <w:pStyle w:val="12"/>
        <w:tabs>
          <w:tab w:val="right" w:leader="dot" w:pos="9354"/>
          <w:tab w:val="clear" w:pos="9344"/>
        </w:tabs>
      </w:pPr>
      <w:r>
        <w:fldChar w:fldCharType="begin"/>
      </w:r>
      <w:r>
        <w:instrText xml:space="preserve"> HYPERLINK \l _Toc18777 </w:instrText>
      </w:r>
      <w:r>
        <w:fldChar w:fldCharType="separate"/>
      </w:r>
      <w:r>
        <w:rPr>
          <w:rFonts w:hint="eastAsia" w:cs="Times New Roman"/>
          <w:lang w:val="en-US" w:eastAsia="zh-CN"/>
        </w:rPr>
        <w:t>8</w:t>
      </w:r>
      <w:r>
        <w:rPr>
          <w:rFonts w:hint="eastAsia"/>
        </w:rPr>
        <w:t>　</w:t>
      </w:r>
      <w:r>
        <w:rPr>
          <w:rFonts w:hint="default" w:cs="Times New Roman"/>
          <w:lang w:val="en-US" w:eastAsia="zh-CN"/>
        </w:rPr>
        <w:t>安全</w:t>
      </w:r>
      <w:r>
        <w:tab/>
      </w:r>
      <w:r>
        <w:fldChar w:fldCharType="begin"/>
      </w:r>
      <w:r>
        <w:instrText xml:space="preserve"> PAGEREF _Toc18777 \h </w:instrText>
      </w:r>
      <w:r>
        <w:fldChar w:fldCharType="separate"/>
      </w:r>
      <w:r>
        <w:t>4</w:t>
      </w:r>
      <w:r>
        <w:fldChar w:fldCharType="end"/>
      </w:r>
      <w:r>
        <w:fldChar w:fldCharType="end"/>
      </w:r>
    </w:p>
    <w:p w14:paraId="42CFE892">
      <w:pPr>
        <w:pStyle w:val="13"/>
        <w:tabs>
          <w:tab w:val="right" w:leader="dot" w:pos="9354"/>
        </w:tabs>
      </w:pPr>
      <w:r>
        <w:fldChar w:fldCharType="begin"/>
      </w:r>
      <w:r>
        <w:instrText xml:space="preserve"> HYPERLINK \l _Toc26238 </w:instrText>
      </w:r>
      <w:r>
        <w:fldChar w:fldCharType="separate"/>
      </w:r>
      <w:r>
        <w:rPr>
          <w:rFonts w:hint="eastAsia" w:cs="Times New Roman"/>
          <w:lang w:val="en-US" w:eastAsia="zh-CN"/>
        </w:rPr>
        <w:t>8.1　</w:t>
      </w:r>
      <w:r>
        <w:rPr>
          <w:rFonts w:hint="default" w:cs="Times New Roman"/>
          <w:lang w:val="en-US" w:eastAsia="zh-CN"/>
        </w:rPr>
        <w:t>危险性概述</w:t>
      </w:r>
      <w:r>
        <w:tab/>
      </w:r>
      <w:r>
        <w:fldChar w:fldCharType="begin"/>
      </w:r>
      <w:r>
        <w:instrText xml:space="preserve"> PAGEREF _Toc26238 \h </w:instrText>
      </w:r>
      <w:r>
        <w:fldChar w:fldCharType="separate"/>
      </w:r>
      <w:r>
        <w:t>4</w:t>
      </w:r>
      <w:r>
        <w:fldChar w:fldCharType="end"/>
      </w:r>
      <w:r>
        <w:fldChar w:fldCharType="end"/>
      </w:r>
    </w:p>
    <w:p w14:paraId="27EF51FE">
      <w:pPr>
        <w:pStyle w:val="13"/>
        <w:tabs>
          <w:tab w:val="right" w:leader="dot" w:pos="9354"/>
        </w:tabs>
      </w:pPr>
      <w:r>
        <w:fldChar w:fldCharType="begin"/>
      </w:r>
      <w:r>
        <w:instrText xml:space="preserve"> HYPERLINK \l _Toc22934 </w:instrText>
      </w:r>
      <w:r>
        <w:fldChar w:fldCharType="separate"/>
      </w:r>
      <w:r>
        <w:rPr>
          <w:rFonts w:hint="eastAsia" w:cs="Times New Roman"/>
          <w:lang w:val="en-US" w:eastAsia="zh-CN"/>
        </w:rPr>
        <w:t>8.2</w:t>
      </w:r>
      <w:r>
        <w:rPr>
          <w:rFonts w:hint="eastAsia"/>
        </w:rPr>
        <w:t>　</w:t>
      </w:r>
      <w:r>
        <w:rPr>
          <w:rFonts w:hint="default" w:cs="Times New Roman"/>
          <w:lang w:val="en-US" w:eastAsia="zh-CN"/>
        </w:rPr>
        <w:t>防护措施</w:t>
      </w:r>
      <w:r>
        <w:tab/>
      </w:r>
      <w:r>
        <w:fldChar w:fldCharType="begin"/>
      </w:r>
      <w:r>
        <w:instrText xml:space="preserve"> PAGEREF _Toc22934 \h </w:instrText>
      </w:r>
      <w:r>
        <w:fldChar w:fldCharType="separate"/>
      </w:r>
      <w:r>
        <w:t>4</w:t>
      </w:r>
      <w:r>
        <w:fldChar w:fldCharType="end"/>
      </w:r>
      <w:r>
        <w:fldChar w:fldCharType="end"/>
      </w:r>
    </w:p>
    <w:p w14:paraId="1F2681D8">
      <w:pPr>
        <w:pStyle w:val="12"/>
        <w:tabs>
          <w:tab w:val="right" w:leader="dot" w:pos="9354"/>
          <w:tab w:val="clear" w:pos="9344"/>
        </w:tabs>
      </w:pPr>
      <w:r>
        <w:fldChar w:fldCharType="begin"/>
      </w:r>
      <w:r>
        <w:instrText xml:space="preserve"> HYPERLINK \l _Toc11724 </w:instrText>
      </w:r>
      <w:r>
        <w:fldChar w:fldCharType="separate"/>
      </w:r>
      <w:r>
        <w:rPr>
          <w:rFonts w:hint="eastAsia" w:cs="Times New Roman"/>
          <w:lang w:val="en-US" w:eastAsia="zh-CN"/>
        </w:rPr>
        <w:t>9</w:t>
      </w:r>
      <w:r>
        <w:rPr>
          <w:rFonts w:hint="eastAsia"/>
        </w:rPr>
        <w:t>　</w:t>
      </w:r>
      <w:r>
        <w:rPr>
          <w:rFonts w:hint="default" w:cs="Times New Roman"/>
          <w:lang w:val="en-US" w:eastAsia="zh-CN"/>
        </w:rPr>
        <w:t>检验规则</w:t>
      </w:r>
      <w:r>
        <w:tab/>
      </w:r>
      <w:r>
        <w:fldChar w:fldCharType="begin"/>
      </w:r>
      <w:r>
        <w:instrText xml:space="preserve"> PAGEREF _Toc11724 \h </w:instrText>
      </w:r>
      <w:r>
        <w:fldChar w:fldCharType="separate"/>
      </w:r>
      <w:r>
        <w:t>4</w:t>
      </w:r>
      <w:r>
        <w:fldChar w:fldCharType="end"/>
      </w:r>
      <w:r>
        <w:fldChar w:fldCharType="end"/>
      </w:r>
    </w:p>
    <w:p w14:paraId="5E92C854">
      <w:pPr>
        <w:pStyle w:val="13"/>
        <w:tabs>
          <w:tab w:val="right" w:leader="dot" w:pos="9354"/>
        </w:tabs>
      </w:pPr>
      <w:r>
        <w:fldChar w:fldCharType="begin"/>
      </w:r>
      <w:r>
        <w:instrText xml:space="preserve"> HYPERLINK \l _Toc21612 </w:instrText>
      </w:r>
      <w:r>
        <w:fldChar w:fldCharType="separate"/>
      </w:r>
      <w:r>
        <w:rPr>
          <w:rFonts w:hint="eastAsia" w:cs="Times New Roman"/>
          <w:lang w:val="en-US" w:eastAsia="zh-CN"/>
        </w:rPr>
        <w:t>9.1</w:t>
      </w:r>
      <w:r>
        <w:rPr>
          <w:rFonts w:hint="eastAsia"/>
        </w:rPr>
        <w:t>　</w:t>
      </w:r>
      <w:r>
        <w:rPr>
          <w:rFonts w:hint="default" w:cs="Times New Roman"/>
          <w:lang w:val="en-US" w:eastAsia="zh-CN"/>
        </w:rPr>
        <w:t>检验分类与检验项目</w:t>
      </w:r>
      <w:r>
        <w:tab/>
      </w:r>
      <w:r>
        <w:fldChar w:fldCharType="begin"/>
      </w:r>
      <w:r>
        <w:instrText xml:space="preserve"> PAGEREF _Toc21612 \h </w:instrText>
      </w:r>
      <w:r>
        <w:fldChar w:fldCharType="separate"/>
      </w:r>
      <w:r>
        <w:t>4</w:t>
      </w:r>
      <w:r>
        <w:fldChar w:fldCharType="end"/>
      </w:r>
      <w:r>
        <w:fldChar w:fldCharType="end"/>
      </w:r>
    </w:p>
    <w:p w14:paraId="2B15F8B3">
      <w:pPr>
        <w:pStyle w:val="13"/>
        <w:tabs>
          <w:tab w:val="right" w:leader="dot" w:pos="9354"/>
        </w:tabs>
      </w:pPr>
      <w:r>
        <w:fldChar w:fldCharType="begin"/>
      </w:r>
      <w:r>
        <w:instrText xml:space="preserve"> HYPERLINK \l _Toc26424 </w:instrText>
      </w:r>
      <w:r>
        <w:fldChar w:fldCharType="separate"/>
      </w:r>
      <w:r>
        <w:rPr>
          <w:rFonts w:hint="eastAsia" w:cs="Times New Roman"/>
          <w:lang w:val="en-US" w:eastAsia="zh-CN"/>
        </w:rPr>
        <w:t>9.2</w:t>
      </w:r>
      <w:r>
        <w:rPr>
          <w:rFonts w:hint="eastAsia"/>
        </w:rPr>
        <w:t>　</w:t>
      </w:r>
      <w:r>
        <w:rPr>
          <w:rFonts w:hint="default" w:cs="Times New Roman"/>
          <w:lang w:val="en-US" w:eastAsia="zh-CN"/>
        </w:rPr>
        <w:t>组批</w:t>
      </w:r>
      <w:r>
        <w:tab/>
      </w:r>
      <w:r>
        <w:fldChar w:fldCharType="begin"/>
      </w:r>
      <w:r>
        <w:instrText xml:space="preserve"> PAGEREF _Toc26424 \h </w:instrText>
      </w:r>
      <w:r>
        <w:fldChar w:fldCharType="separate"/>
      </w:r>
      <w:r>
        <w:t>4</w:t>
      </w:r>
      <w:r>
        <w:fldChar w:fldCharType="end"/>
      </w:r>
      <w:r>
        <w:fldChar w:fldCharType="end"/>
      </w:r>
    </w:p>
    <w:p w14:paraId="109A4AD4">
      <w:pPr>
        <w:pStyle w:val="13"/>
        <w:tabs>
          <w:tab w:val="right" w:leader="dot" w:pos="9354"/>
        </w:tabs>
      </w:pPr>
      <w:r>
        <w:fldChar w:fldCharType="begin"/>
      </w:r>
      <w:r>
        <w:instrText xml:space="preserve"> HYPERLINK \l _Toc2432 </w:instrText>
      </w:r>
      <w:r>
        <w:fldChar w:fldCharType="separate"/>
      </w:r>
      <w:r>
        <w:rPr>
          <w:rFonts w:hint="eastAsia" w:cs="Times New Roman"/>
          <w:lang w:val="en-US" w:eastAsia="zh-CN"/>
        </w:rPr>
        <w:t>9.3</w:t>
      </w:r>
      <w:r>
        <w:rPr>
          <w:rFonts w:hint="eastAsia"/>
        </w:rPr>
        <w:t>　</w:t>
      </w:r>
      <w:r>
        <w:rPr>
          <w:rFonts w:hint="default" w:cs="Times New Roman"/>
          <w:lang w:val="en-US" w:eastAsia="zh-CN"/>
        </w:rPr>
        <w:t>判定规则</w:t>
      </w:r>
      <w:r>
        <w:tab/>
      </w:r>
      <w:r>
        <w:fldChar w:fldCharType="begin"/>
      </w:r>
      <w:r>
        <w:instrText xml:space="preserve"> PAGEREF _Toc2432 \h </w:instrText>
      </w:r>
      <w:r>
        <w:fldChar w:fldCharType="separate"/>
      </w:r>
      <w:r>
        <w:t>4</w:t>
      </w:r>
      <w:r>
        <w:fldChar w:fldCharType="end"/>
      </w:r>
      <w:r>
        <w:fldChar w:fldCharType="end"/>
      </w:r>
    </w:p>
    <w:p w14:paraId="3E51394D">
      <w:pPr>
        <w:pStyle w:val="12"/>
        <w:tabs>
          <w:tab w:val="right" w:leader="dot" w:pos="9354"/>
          <w:tab w:val="clear" w:pos="9344"/>
        </w:tabs>
      </w:pPr>
      <w:r>
        <w:fldChar w:fldCharType="begin"/>
      </w:r>
      <w:r>
        <w:instrText xml:space="preserve"> HYPERLINK \l _Toc1682 </w:instrText>
      </w:r>
      <w:r>
        <w:fldChar w:fldCharType="separate"/>
      </w:r>
      <w:r>
        <w:rPr>
          <w:rFonts w:hint="eastAsia"/>
        </w:rPr>
        <w:t>附　录　A</w:t>
      </w:r>
      <w:r>
        <w:tab/>
      </w:r>
      <w:r>
        <w:fldChar w:fldCharType="begin"/>
      </w:r>
      <w:r>
        <w:instrText xml:space="preserve"> PAGEREF _Toc1682 \h </w:instrText>
      </w:r>
      <w:r>
        <w:fldChar w:fldCharType="separate"/>
      </w:r>
      <w:r>
        <w:t>5</w:t>
      </w:r>
      <w:r>
        <w:fldChar w:fldCharType="end"/>
      </w:r>
      <w:r>
        <w:fldChar w:fldCharType="end"/>
      </w:r>
    </w:p>
    <w:p w14:paraId="5D84814F">
      <w:pPr>
        <w:pStyle w:val="12"/>
        <w:tabs>
          <w:tab w:val="right" w:leader="dot" w:pos="9354"/>
          <w:tab w:val="clear" w:pos="9344"/>
        </w:tabs>
      </w:pPr>
      <w:r>
        <w:fldChar w:fldCharType="begin"/>
      </w:r>
      <w:r>
        <w:instrText xml:space="preserve"> HYPERLINK \l _Toc18379 </w:instrText>
      </w:r>
      <w:r>
        <w:fldChar w:fldCharType="separate"/>
      </w:r>
      <w:r>
        <w:rPr>
          <w:rFonts w:hint="default" w:cs="Times New Roman"/>
          <w:lang w:val="en-US" w:eastAsia="zh-CN"/>
        </w:rPr>
        <w:t>A</w:t>
      </w:r>
      <w:r>
        <w:rPr>
          <w:rFonts w:hint="eastAsia" w:cs="Times New Roman"/>
          <w:lang w:val="en-US" w:eastAsia="zh-CN"/>
        </w:rPr>
        <w:t>.</w:t>
      </w:r>
      <w:r>
        <w:rPr>
          <w:rFonts w:hint="default" w:cs="Times New Roman"/>
          <w:lang w:val="en-US" w:eastAsia="zh-CN"/>
        </w:rPr>
        <w:t>1</w:t>
      </w:r>
      <w:r>
        <w:rPr>
          <w:rFonts w:hint="eastAsia"/>
        </w:rPr>
        <w:t>　</w:t>
      </w:r>
      <w:r>
        <w:rPr>
          <w:rFonts w:hint="default" w:cs="Times New Roman"/>
          <w:lang w:val="en-US" w:eastAsia="zh-CN"/>
        </w:rPr>
        <w:t>用于研究目的的本储存稳定性测试的建议实验条件</w:t>
      </w:r>
      <w:r>
        <w:tab/>
      </w:r>
      <w:r>
        <w:fldChar w:fldCharType="begin"/>
      </w:r>
      <w:r>
        <w:instrText xml:space="preserve"> PAGEREF _Toc18379 \h </w:instrText>
      </w:r>
      <w:r>
        <w:fldChar w:fldCharType="separate"/>
      </w:r>
      <w:r>
        <w:t>5</w:t>
      </w:r>
      <w:r>
        <w:fldChar w:fldCharType="end"/>
      </w:r>
      <w:r>
        <w:fldChar w:fldCharType="end"/>
      </w:r>
    </w:p>
    <w:p w14:paraId="316991E2">
      <w:pPr>
        <w:pStyle w:val="13"/>
        <w:tabs>
          <w:tab w:val="right" w:leader="dot" w:pos="9354"/>
        </w:tabs>
      </w:pPr>
      <w:r>
        <w:fldChar w:fldCharType="begin"/>
      </w:r>
      <w:r>
        <w:instrText xml:space="preserve"> HYPERLINK \l _Toc28229 </w:instrText>
      </w:r>
      <w:r>
        <w:fldChar w:fldCharType="separate"/>
      </w:r>
      <w:r>
        <w:rPr>
          <w:rFonts w:hint="default" w:cs="Times New Roman"/>
          <w:lang w:val="en-US" w:eastAsia="zh-CN"/>
        </w:rPr>
        <w:t>A</w:t>
      </w:r>
      <w:r>
        <w:rPr>
          <w:rFonts w:hint="eastAsia" w:cs="Times New Roman"/>
          <w:lang w:val="en-US" w:eastAsia="zh-CN"/>
        </w:rPr>
        <w:t>.</w:t>
      </w:r>
      <w:r>
        <w:rPr>
          <w:rFonts w:hint="default" w:cs="Times New Roman"/>
          <w:lang w:val="en-US" w:eastAsia="zh-CN"/>
        </w:rPr>
        <w:t>1.1</w:t>
      </w:r>
      <w:r>
        <w:rPr>
          <w:rFonts w:hint="eastAsia"/>
        </w:rPr>
        <w:t>　</w:t>
      </w:r>
      <w:r>
        <w:rPr>
          <w:rFonts w:hint="default" w:cs="Times New Roman"/>
          <w:lang w:val="en-US" w:eastAsia="zh-CN"/>
        </w:rPr>
        <w:t>范围</w:t>
      </w:r>
      <w:r>
        <w:tab/>
      </w:r>
      <w:r>
        <w:fldChar w:fldCharType="begin"/>
      </w:r>
      <w:r>
        <w:instrText xml:space="preserve"> PAGEREF _Toc28229 \h </w:instrText>
      </w:r>
      <w:r>
        <w:fldChar w:fldCharType="separate"/>
      </w:r>
      <w:r>
        <w:t>5</w:t>
      </w:r>
      <w:r>
        <w:fldChar w:fldCharType="end"/>
      </w:r>
      <w:r>
        <w:fldChar w:fldCharType="end"/>
      </w:r>
    </w:p>
    <w:p w14:paraId="617E373D">
      <w:pPr>
        <w:pStyle w:val="13"/>
        <w:tabs>
          <w:tab w:val="right" w:leader="dot" w:pos="9354"/>
        </w:tabs>
      </w:pPr>
      <w:r>
        <w:fldChar w:fldCharType="begin"/>
      </w:r>
      <w:r>
        <w:instrText xml:space="preserve"> HYPERLINK \l _Toc16917 </w:instrText>
      </w:r>
      <w:r>
        <w:fldChar w:fldCharType="separate"/>
      </w:r>
      <w:r>
        <w:rPr>
          <w:rFonts w:hint="eastAsia" w:cs="Times New Roman"/>
          <w:lang w:val="en-US" w:eastAsia="zh-CN"/>
        </w:rPr>
        <w:t>A.1.2</w:t>
      </w:r>
      <w:r>
        <w:rPr>
          <w:rFonts w:hint="eastAsia"/>
        </w:rPr>
        <w:t>　</w:t>
      </w:r>
      <w:r>
        <w:rPr>
          <w:rFonts w:hint="eastAsia" w:cs="Times New Roman"/>
          <w:lang w:val="en-US" w:eastAsia="zh-CN"/>
        </w:rPr>
        <w:t>等效试验条件</w:t>
      </w:r>
      <w:bookmarkStart w:id="32" w:name="_GoBack"/>
      <w:bookmarkEnd w:id="32"/>
      <w:r>
        <w:tab/>
      </w:r>
      <w:r>
        <w:fldChar w:fldCharType="begin"/>
      </w:r>
      <w:r>
        <w:instrText xml:space="preserve"> PAGEREF _Toc16917 \h </w:instrText>
      </w:r>
      <w:r>
        <w:fldChar w:fldCharType="separate"/>
      </w:r>
      <w:r>
        <w:t>5</w:t>
      </w:r>
      <w:r>
        <w:fldChar w:fldCharType="end"/>
      </w:r>
      <w:r>
        <w:fldChar w:fldCharType="end"/>
      </w:r>
    </w:p>
    <w:p w14:paraId="5A07DEBF">
      <w:pPr>
        <w:pStyle w:val="36"/>
      </w:pPr>
      <w:r>
        <w:fldChar w:fldCharType="end"/>
      </w:r>
      <w:bookmarkStart w:id="4" w:name="_Toc14858"/>
      <w:r>
        <w:rPr>
          <w:rFonts w:hint="eastAsia"/>
        </w:rPr>
        <w:t>前</w:t>
      </w:r>
      <w:r>
        <w:rPr>
          <w:rFonts w:hAnsi="黑体"/>
        </w:rPr>
        <w:t>  </w:t>
      </w:r>
      <w:r>
        <w:rPr>
          <w:rFonts w:hint="eastAsia"/>
        </w:rPr>
        <w:t>言</w:t>
      </w:r>
      <w:bookmarkEnd w:id="4"/>
    </w:p>
    <w:p w14:paraId="7AF9284A">
      <w:pPr>
        <w:pStyle w:val="24"/>
        <w:ind w:firstLine="420"/>
        <w:rPr>
          <w:rFonts w:hint="eastAsia"/>
        </w:rPr>
      </w:pPr>
      <w:r>
        <w:t xml:space="preserve">本文件按照GB/T 1.1—2020《标准化工作导则 第1部分：标准化文件的结构和起草规则》起草。  </w:t>
      </w:r>
    </w:p>
    <w:p w14:paraId="438B9618">
      <w:pPr>
        <w:pStyle w:val="24"/>
        <w:ind w:firstLine="420"/>
        <w:rPr>
          <w:rFonts w:hint="eastAsia"/>
        </w:rPr>
      </w:pPr>
      <w:r>
        <w:rPr>
          <w:rFonts w:hint="eastAsia"/>
        </w:rPr>
        <w:t>请注意本文件的某些内容可能涉及专利，本文件的发布机构不承担识别专利的责任。</w:t>
      </w:r>
    </w:p>
    <w:p w14:paraId="5D09F042">
      <w:pPr>
        <w:pStyle w:val="24"/>
        <w:ind w:firstLine="420"/>
        <w:rPr>
          <w:rFonts w:hint="eastAsia"/>
        </w:rPr>
      </w:pPr>
      <w:r>
        <w:rPr>
          <w:rFonts w:hint="eastAsia"/>
        </w:rPr>
        <w:t>本文件由中国内燃机学会标准管理部提出。</w:t>
      </w:r>
    </w:p>
    <w:p w14:paraId="6152F023">
      <w:pPr>
        <w:pStyle w:val="24"/>
        <w:ind w:firstLine="420"/>
        <w:rPr>
          <w:rFonts w:hint="eastAsia"/>
        </w:rPr>
      </w:pPr>
      <w:r>
        <w:rPr>
          <w:rFonts w:hint="eastAsia"/>
        </w:rPr>
        <w:t>本文件由中国内燃机学会归口。</w:t>
      </w:r>
    </w:p>
    <w:p w14:paraId="45D35897">
      <w:pPr>
        <w:pStyle w:val="24"/>
        <w:ind w:firstLine="420"/>
        <w:rPr>
          <w:rFonts w:hint="eastAsia"/>
        </w:rPr>
      </w:pPr>
      <w:r>
        <w:rPr>
          <w:rFonts w:hint="eastAsia"/>
        </w:rPr>
        <w:t>本文件起草单位：</w:t>
      </w:r>
      <w:bookmarkStart w:id="5" w:name="OLE_LINK5"/>
      <w:r>
        <w:rPr>
          <w:rFonts w:hint="eastAsia"/>
        </w:rPr>
        <w:t>山东京博新能源控股发展有限公司、天津大学、燃擎智创科技（苏州）有限公司、山东京博石油化工有限公司、黄河三角洲京博化工研究院有限公司。</w:t>
      </w:r>
    </w:p>
    <w:bookmarkEnd w:id="5"/>
    <w:p w14:paraId="57FA6595">
      <w:pPr>
        <w:pStyle w:val="24"/>
        <w:ind w:firstLine="420"/>
        <w:rPr>
          <w:rFonts w:hint="eastAsia"/>
        </w:rPr>
      </w:pPr>
      <w:r>
        <w:rPr>
          <w:rFonts w:hint="eastAsia"/>
        </w:rPr>
        <w:t>本文件主要起草人：徐林勋、姜雪丽、刘海峰、郭孔鲁、贾丹丹、尹博、卢梦林、董凯悦。</w:t>
      </w:r>
    </w:p>
    <w:p w14:paraId="64729D0A">
      <w:pPr>
        <w:pStyle w:val="24"/>
        <w:ind w:firstLine="420"/>
        <w:rPr>
          <w:rFonts w:hint="eastAsia"/>
        </w:rPr>
      </w:pPr>
      <w:r>
        <w:rPr>
          <w:rFonts w:hint="eastAsia"/>
        </w:rPr>
        <w:t>本文件于</w:t>
      </w:r>
      <w:r>
        <w:rPr>
          <w:rFonts w:hint="eastAsia"/>
          <w:lang w:val="en-US" w:eastAsia="zh-CN"/>
        </w:rPr>
        <w:t>2026</w:t>
      </w:r>
      <w:r>
        <w:rPr>
          <w:rFonts w:hint="eastAsia"/>
        </w:rPr>
        <w:t>年首次发布。</w:t>
      </w:r>
    </w:p>
    <w:p w14:paraId="3C17DEF8">
      <w:pPr>
        <w:rPr>
          <w:rFonts w:hint="eastAsia"/>
        </w:rPr>
        <w:sectPr>
          <w:headerReference r:id="rId13" w:type="first"/>
          <w:footerReference r:id="rId15" w:type="first"/>
          <w:footerReference r:id="rId14" w:type="even"/>
          <w:pgSz w:w="11906" w:h="16838"/>
          <w:pgMar w:top="1418" w:right="1134" w:bottom="1134" w:left="1418" w:header="1417" w:footer="1134" w:gutter="0"/>
          <w:pgBorders>
            <w:top w:val="none" w:sz="0" w:space="0"/>
            <w:left w:val="none" w:sz="0" w:space="0"/>
            <w:bottom w:val="none" w:sz="0" w:space="0"/>
            <w:right w:val="none" w:sz="0" w:space="0"/>
          </w:pgBorders>
          <w:pgNumType w:fmt="upperRoman"/>
          <w:cols w:space="425" w:num="1"/>
          <w:titlePg/>
          <w:docGrid w:type="lines" w:linePitch="312" w:charSpace="0"/>
        </w:sectPr>
      </w:pPr>
    </w:p>
    <w:p w14:paraId="7AD1A1C3">
      <w:pPr>
        <w:pStyle w:val="40"/>
        <w:rPr>
          <w:rFonts w:hint="eastAsia"/>
        </w:rPr>
      </w:pPr>
      <w:r>
        <w:rPr>
          <w:rFonts w:hint="eastAsia"/>
        </w:rPr>
        <w:t>应急柴油发电机组用抗氧化燃料</w:t>
      </w:r>
    </w:p>
    <w:p w14:paraId="5737B597">
      <w:pPr>
        <w:pStyle w:val="38"/>
        <w:rPr>
          <w:rFonts w:hint="eastAsia"/>
        </w:rPr>
      </w:pPr>
      <w:bookmarkStart w:id="6" w:name="_Toc7619"/>
      <w:r>
        <w:rPr>
          <w:rFonts w:hint="eastAsia"/>
        </w:rPr>
        <w:t>1　范围</w:t>
      </w:r>
      <w:bookmarkEnd w:id="6"/>
    </w:p>
    <w:p w14:paraId="19DDC6C4">
      <w:pPr>
        <w:pStyle w:val="24"/>
        <w:ind w:firstLine="420"/>
        <w:rPr>
          <w:rFonts w:hint="eastAsia"/>
        </w:rPr>
      </w:pPr>
      <w:r>
        <w:rPr>
          <w:rFonts w:hint="eastAsia"/>
        </w:rPr>
        <w:t>本标准规定了应急柴油发电机组用抗氧化燃料的术语和定义、产品类型、技术要求和试验方法、取样、标志、包装、运输和贮存、安全及标准的实施。</w:t>
      </w:r>
    </w:p>
    <w:p w14:paraId="529DCD27">
      <w:pPr>
        <w:pStyle w:val="24"/>
        <w:ind w:firstLine="420"/>
        <w:rPr>
          <w:rFonts w:hint="eastAsia"/>
        </w:rPr>
      </w:pPr>
      <w:r>
        <w:rPr>
          <w:rFonts w:hint="eastAsia"/>
        </w:rPr>
        <w:t>本标准适用于应急柴油发电机组使用的、由石油制取或加有改善使用性能添加剂的抗氧化柴油。本标准不适用于以生物柴油为调和组分的抗氧化柴油。</w:t>
      </w:r>
    </w:p>
    <w:p w14:paraId="6589FF09">
      <w:pPr>
        <w:pStyle w:val="24"/>
        <w:ind w:firstLine="420"/>
        <w:rPr>
          <w:rFonts w:hint="eastAsia"/>
        </w:rPr>
      </w:pPr>
      <w:r>
        <w:rPr>
          <w:rFonts w:hint="eastAsia"/>
        </w:rPr>
        <w:t>本标准产品主要适用于以柴油发电机组进行应急发电的场所，如核电厂、数据中心、医院等。</w:t>
      </w:r>
    </w:p>
    <w:p w14:paraId="7A09EA7C">
      <w:pPr>
        <w:pStyle w:val="38"/>
        <w:rPr>
          <w:rFonts w:hint="eastAsia"/>
        </w:rPr>
      </w:pPr>
      <w:bookmarkStart w:id="7" w:name="_Toc15005"/>
      <w:r>
        <w:rPr>
          <w:rFonts w:hint="eastAsia"/>
        </w:rPr>
        <w:t>2　规范性引用文件</w:t>
      </w:r>
      <w:bookmarkEnd w:id="7"/>
    </w:p>
    <w:p w14:paraId="69759EAA">
      <w:pPr>
        <w:pStyle w:val="24"/>
        <w:ind w:firstLine="420"/>
        <w:rPr>
          <w:rFonts w:hint="eastAsia" w:cs="宋体"/>
          <w:szCs w:val="21"/>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07873D9">
      <w:pPr>
        <w:pStyle w:val="24"/>
        <w:tabs>
          <w:tab w:val="center" w:pos="4201"/>
          <w:tab w:val="right" w:leader="dot" w:pos="9298"/>
        </w:tabs>
        <w:ind w:firstLine="420"/>
        <w:rPr>
          <w:rFonts w:hint="eastAsia" w:cs="宋体"/>
          <w:szCs w:val="21"/>
        </w:rPr>
      </w:pPr>
      <w:r>
        <w:rPr>
          <w:rFonts w:hint="eastAsia" w:cs="宋体"/>
          <w:szCs w:val="21"/>
        </w:rPr>
        <w:t>GB/T 1.1—2020 标准化工作导则 第1部分：标准化文件的结构和起草规则</w:t>
      </w:r>
    </w:p>
    <w:p w14:paraId="46FB1284">
      <w:pPr>
        <w:pStyle w:val="24"/>
        <w:tabs>
          <w:tab w:val="center" w:pos="4201"/>
          <w:tab w:val="right" w:leader="dot" w:pos="9298"/>
        </w:tabs>
        <w:ind w:firstLine="420"/>
        <w:rPr>
          <w:rFonts w:hint="default" w:ascii="宋体" w:hAnsi="宋体" w:eastAsia="宋体" w:cs="宋体"/>
          <w:szCs w:val="21"/>
        </w:rPr>
      </w:pPr>
      <w:r>
        <w:rPr>
          <w:rFonts w:hint="default" w:ascii="宋体" w:hAnsi="宋体" w:eastAsia="宋体" w:cs="宋体"/>
          <w:szCs w:val="21"/>
        </w:rPr>
        <w:t>GB 190 危险货物包装标志</w:t>
      </w:r>
    </w:p>
    <w:p w14:paraId="339F0433">
      <w:pPr>
        <w:pStyle w:val="24"/>
        <w:tabs>
          <w:tab w:val="center" w:pos="4201"/>
          <w:tab w:val="right" w:leader="dot" w:pos="9298"/>
        </w:tabs>
        <w:ind w:firstLine="420"/>
        <w:rPr>
          <w:rFonts w:hint="default" w:ascii="宋体" w:hAnsi="宋体" w:eastAsia="宋体" w:cs="宋体"/>
          <w:szCs w:val="21"/>
          <w:lang w:val="en-US" w:eastAsia="zh-CN"/>
        </w:rPr>
      </w:pPr>
      <w:r>
        <w:rPr>
          <w:rFonts w:hint="default" w:ascii="宋体" w:hAnsi="宋体" w:eastAsia="宋体" w:cs="宋体"/>
          <w:szCs w:val="21"/>
          <w:lang w:val="en-US" w:eastAsia="zh-CN"/>
        </w:rPr>
        <w:t>GB 19147 车用柴油</w:t>
      </w:r>
    </w:p>
    <w:p w14:paraId="29022F51">
      <w:pPr>
        <w:pStyle w:val="24"/>
        <w:tabs>
          <w:tab w:val="center" w:pos="4201"/>
          <w:tab w:val="right" w:leader="dot" w:pos="9298"/>
        </w:tabs>
        <w:ind w:firstLine="420"/>
        <w:rPr>
          <w:rFonts w:hint="default" w:ascii="宋体" w:hAnsi="宋体" w:eastAsia="宋体" w:cs="宋体"/>
          <w:szCs w:val="21"/>
          <w:lang w:val="en-US" w:eastAsia="zh-CN"/>
        </w:rPr>
      </w:pPr>
      <w:r>
        <w:rPr>
          <w:rFonts w:hint="default" w:ascii="宋体" w:hAnsi="宋体" w:eastAsia="宋体" w:cs="宋体"/>
          <w:szCs w:val="21"/>
          <w:lang w:val="en-US" w:eastAsia="zh-CN"/>
        </w:rPr>
        <w:t>GB/T 258 轻质石油产品酸度测定法</w:t>
      </w:r>
    </w:p>
    <w:p w14:paraId="53DDF657">
      <w:pPr>
        <w:pStyle w:val="24"/>
        <w:tabs>
          <w:tab w:val="center" w:pos="4201"/>
          <w:tab w:val="right" w:leader="dot" w:pos="9298"/>
        </w:tabs>
        <w:ind w:firstLine="420"/>
        <w:rPr>
          <w:rFonts w:hint="default" w:ascii="宋体" w:hAnsi="宋体" w:eastAsia="宋体" w:cs="宋体"/>
          <w:szCs w:val="21"/>
          <w:lang w:val="en-US" w:eastAsia="zh-CN"/>
        </w:rPr>
      </w:pPr>
      <w:r>
        <w:rPr>
          <w:rFonts w:hint="default" w:ascii="宋体" w:hAnsi="宋体" w:eastAsia="宋体" w:cs="宋体"/>
          <w:szCs w:val="21"/>
          <w:lang w:val="en-US" w:eastAsia="zh-CN"/>
        </w:rPr>
        <w:t>GB/T 260 石油产品水分测定法 蒸馏法</w:t>
      </w:r>
    </w:p>
    <w:p w14:paraId="05403F20">
      <w:pPr>
        <w:pStyle w:val="24"/>
        <w:tabs>
          <w:tab w:val="center" w:pos="4201"/>
          <w:tab w:val="right" w:leader="dot" w:pos="9298"/>
        </w:tabs>
        <w:ind w:firstLine="420"/>
        <w:rPr>
          <w:rFonts w:hint="default" w:ascii="宋体" w:hAnsi="宋体" w:eastAsia="宋体" w:cs="宋体"/>
          <w:szCs w:val="21"/>
          <w:lang w:val="en-US" w:eastAsia="zh-CN"/>
        </w:rPr>
      </w:pPr>
      <w:r>
        <w:rPr>
          <w:rFonts w:hint="default" w:ascii="宋体" w:hAnsi="宋体" w:eastAsia="宋体" w:cs="宋体"/>
          <w:szCs w:val="21"/>
          <w:lang w:val="en-US" w:eastAsia="zh-CN"/>
        </w:rPr>
        <w:t>GB/T 261 闪点的测定 宾斯基-马丁闭口杯法</w:t>
      </w:r>
    </w:p>
    <w:p w14:paraId="0CC26819">
      <w:pPr>
        <w:pStyle w:val="24"/>
        <w:tabs>
          <w:tab w:val="center" w:pos="4201"/>
          <w:tab w:val="right" w:leader="dot" w:pos="9298"/>
        </w:tabs>
        <w:ind w:firstLine="420"/>
        <w:rPr>
          <w:rFonts w:hint="default" w:ascii="宋体" w:hAnsi="宋体" w:eastAsia="宋体" w:cs="宋体"/>
          <w:szCs w:val="21"/>
          <w:lang w:val="en-US" w:eastAsia="zh-CN"/>
        </w:rPr>
      </w:pPr>
      <w:r>
        <w:rPr>
          <w:rFonts w:hint="default" w:ascii="宋体" w:hAnsi="宋体" w:eastAsia="宋体" w:cs="宋体"/>
          <w:szCs w:val="21"/>
          <w:lang w:val="en-US" w:eastAsia="zh-CN"/>
        </w:rPr>
        <w:t>GB/T 265 石油产品运动黏度测定法和动力黏度计算法</w:t>
      </w:r>
    </w:p>
    <w:p w14:paraId="192046C6">
      <w:pPr>
        <w:pStyle w:val="24"/>
        <w:tabs>
          <w:tab w:val="center" w:pos="4201"/>
          <w:tab w:val="right" w:leader="dot" w:pos="9298"/>
        </w:tabs>
        <w:ind w:firstLine="420"/>
        <w:rPr>
          <w:rFonts w:hint="default" w:ascii="宋体" w:hAnsi="宋体" w:eastAsia="宋体" w:cs="宋体"/>
          <w:szCs w:val="21"/>
          <w:lang w:val="en-US" w:eastAsia="zh-CN"/>
        </w:rPr>
      </w:pPr>
      <w:r>
        <w:rPr>
          <w:rFonts w:hint="default" w:ascii="宋体" w:hAnsi="宋体" w:eastAsia="宋体" w:cs="宋体"/>
          <w:szCs w:val="21"/>
          <w:lang w:val="en-US" w:eastAsia="zh-CN"/>
        </w:rPr>
        <w:t>GB/T 268 石油产品残炭测定法（康氏法）</w:t>
      </w:r>
    </w:p>
    <w:p w14:paraId="0647DC8B">
      <w:pPr>
        <w:pStyle w:val="24"/>
        <w:tabs>
          <w:tab w:val="center" w:pos="4201"/>
          <w:tab w:val="right" w:leader="dot" w:pos="9298"/>
        </w:tabs>
        <w:ind w:firstLine="420"/>
        <w:rPr>
          <w:rFonts w:hint="default" w:ascii="宋体" w:hAnsi="宋体" w:eastAsia="宋体" w:cs="宋体"/>
          <w:szCs w:val="21"/>
          <w:lang w:val="en-US" w:eastAsia="zh-CN"/>
        </w:rPr>
      </w:pPr>
      <w:r>
        <w:rPr>
          <w:rFonts w:hint="default" w:ascii="宋体" w:hAnsi="宋体" w:eastAsia="宋体" w:cs="宋体"/>
          <w:szCs w:val="21"/>
          <w:lang w:val="en-US" w:eastAsia="zh-CN"/>
        </w:rPr>
        <w:t>GB/T 386 柴油十六烷值测定法</w:t>
      </w:r>
    </w:p>
    <w:p w14:paraId="0DE48655">
      <w:pPr>
        <w:pStyle w:val="24"/>
        <w:tabs>
          <w:tab w:val="center" w:pos="4201"/>
          <w:tab w:val="right" w:leader="dot" w:pos="9298"/>
        </w:tabs>
        <w:ind w:firstLine="420"/>
        <w:rPr>
          <w:rFonts w:hint="default" w:ascii="宋体" w:hAnsi="宋体" w:eastAsia="宋体" w:cs="宋体"/>
          <w:szCs w:val="21"/>
          <w:lang w:val="en-US" w:eastAsia="zh-CN"/>
        </w:rPr>
      </w:pPr>
      <w:r>
        <w:rPr>
          <w:rFonts w:hint="default" w:ascii="宋体" w:hAnsi="宋体" w:eastAsia="宋体" w:cs="宋体"/>
          <w:szCs w:val="21"/>
          <w:lang w:val="en-US" w:eastAsia="zh-CN"/>
        </w:rPr>
        <w:t>GB/T 508 石油产品灰分测定法</w:t>
      </w:r>
    </w:p>
    <w:p w14:paraId="13022972">
      <w:pPr>
        <w:pStyle w:val="24"/>
        <w:tabs>
          <w:tab w:val="center" w:pos="4201"/>
          <w:tab w:val="right" w:leader="dot" w:pos="9298"/>
        </w:tabs>
        <w:ind w:firstLine="420"/>
        <w:rPr>
          <w:rFonts w:hint="default" w:ascii="宋体" w:hAnsi="宋体" w:eastAsia="宋体" w:cs="宋体"/>
          <w:szCs w:val="21"/>
          <w:lang w:val="en-US" w:eastAsia="zh-CN"/>
        </w:rPr>
      </w:pPr>
      <w:r>
        <w:rPr>
          <w:rFonts w:hint="default" w:ascii="宋体" w:hAnsi="宋体" w:eastAsia="宋体" w:cs="宋体"/>
          <w:szCs w:val="21"/>
          <w:lang w:val="en-US" w:eastAsia="zh-CN"/>
        </w:rPr>
        <w:t>GB/T 510 石油产品凝点测定法</w:t>
      </w:r>
    </w:p>
    <w:p w14:paraId="54FCC797">
      <w:pPr>
        <w:pStyle w:val="24"/>
        <w:tabs>
          <w:tab w:val="center" w:pos="4201"/>
          <w:tab w:val="right" w:leader="dot" w:pos="9298"/>
        </w:tabs>
        <w:ind w:firstLine="420"/>
        <w:rPr>
          <w:rFonts w:hint="default" w:ascii="宋体" w:hAnsi="宋体" w:eastAsia="宋体" w:cs="宋体"/>
          <w:szCs w:val="21"/>
          <w:lang w:val="en-US" w:eastAsia="zh-CN"/>
        </w:rPr>
      </w:pPr>
      <w:r>
        <w:rPr>
          <w:rFonts w:hint="default" w:ascii="宋体" w:hAnsi="宋体" w:eastAsia="宋体" w:cs="宋体"/>
          <w:szCs w:val="21"/>
          <w:lang w:val="en-US" w:eastAsia="zh-CN"/>
        </w:rPr>
        <w:t>GB/T 1884 原油和液体石油产品密度实验室测定法（密度计法）</w:t>
      </w:r>
    </w:p>
    <w:p w14:paraId="0081C925">
      <w:pPr>
        <w:pStyle w:val="24"/>
        <w:tabs>
          <w:tab w:val="center" w:pos="4201"/>
          <w:tab w:val="right" w:leader="dot" w:pos="9298"/>
        </w:tabs>
        <w:ind w:firstLine="420"/>
        <w:rPr>
          <w:rFonts w:hint="default" w:ascii="宋体" w:hAnsi="宋体" w:eastAsia="宋体" w:cs="宋体"/>
          <w:szCs w:val="21"/>
          <w:lang w:val="en-US" w:eastAsia="zh-CN"/>
        </w:rPr>
      </w:pPr>
      <w:r>
        <w:rPr>
          <w:rFonts w:hint="default" w:ascii="宋体" w:hAnsi="宋体" w:eastAsia="宋体" w:cs="宋体"/>
          <w:szCs w:val="21"/>
          <w:lang w:val="en-US" w:eastAsia="zh-CN"/>
        </w:rPr>
        <w:t>GB/T 1885 石油计量表</w:t>
      </w:r>
    </w:p>
    <w:p w14:paraId="0E0E4964">
      <w:pPr>
        <w:pStyle w:val="24"/>
        <w:tabs>
          <w:tab w:val="center" w:pos="4201"/>
          <w:tab w:val="right" w:leader="dot" w:pos="9298"/>
        </w:tabs>
        <w:ind w:firstLine="420"/>
        <w:rPr>
          <w:rFonts w:hint="default" w:ascii="宋体" w:hAnsi="宋体" w:eastAsia="宋体" w:cs="宋体"/>
          <w:szCs w:val="21"/>
          <w:lang w:val="en-US" w:eastAsia="zh-CN"/>
        </w:rPr>
      </w:pPr>
      <w:r>
        <w:rPr>
          <w:rFonts w:hint="default" w:ascii="宋体" w:hAnsi="宋体" w:eastAsia="宋体" w:cs="宋体"/>
          <w:szCs w:val="21"/>
          <w:lang w:val="en-US" w:eastAsia="zh-CN"/>
        </w:rPr>
        <w:t>GB/T 4756 石油液体手工取样法</w:t>
      </w:r>
    </w:p>
    <w:p w14:paraId="5522369A">
      <w:pPr>
        <w:pStyle w:val="24"/>
        <w:tabs>
          <w:tab w:val="center" w:pos="4201"/>
          <w:tab w:val="right" w:leader="dot" w:pos="9298"/>
        </w:tabs>
        <w:ind w:firstLine="420"/>
        <w:rPr>
          <w:rFonts w:hint="default" w:ascii="宋体" w:hAnsi="宋体" w:eastAsia="宋体" w:cs="宋体"/>
          <w:szCs w:val="21"/>
          <w:lang w:val="en-US" w:eastAsia="zh-CN"/>
        </w:rPr>
      </w:pPr>
      <w:r>
        <w:rPr>
          <w:rFonts w:hint="default" w:ascii="宋体" w:hAnsi="宋体" w:eastAsia="宋体" w:cs="宋体"/>
          <w:szCs w:val="21"/>
          <w:lang w:val="en-US" w:eastAsia="zh-CN"/>
        </w:rPr>
        <w:t>GB/T 5096 石油产品铜片腐蚀试验法</w:t>
      </w:r>
    </w:p>
    <w:p w14:paraId="1C959CE8">
      <w:pPr>
        <w:pStyle w:val="24"/>
        <w:tabs>
          <w:tab w:val="center" w:pos="4201"/>
          <w:tab w:val="right" w:leader="dot" w:pos="9298"/>
        </w:tabs>
        <w:ind w:firstLine="420"/>
        <w:rPr>
          <w:rFonts w:hint="default" w:ascii="宋体" w:hAnsi="宋体" w:eastAsia="宋体" w:cs="宋体"/>
          <w:szCs w:val="21"/>
          <w:lang w:val="en-US" w:eastAsia="zh-CN"/>
        </w:rPr>
      </w:pPr>
      <w:r>
        <w:rPr>
          <w:rFonts w:hint="default" w:ascii="宋体" w:hAnsi="宋体" w:eastAsia="宋体" w:cs="宋体"/>
          <w:szCs w:val="21"/>
          <w:lang w:val="en-US" w:eastAsia="zh-CN"/>
        </w:rPr>
        <w:t>GB/T 6536 石油产品常压蒸馏特性测定法</w:t>
      </w:r>
    </w:p>
    <w:p w14:paraId="32B1422E">
      <w:pPr>
        <w:pStyle w:val="24"/>
        <w:tabs>
          <w:tab w:val="center" w:pos="4201"/>
          <w:tab w:val="right" w:leader="dot" w:pos="9298"/>
        </w:tabs>
        <w:ind w:firstLine="420"/>
        <w:rPr>
          <w:rFonts w:hint="default" w:ascii="宋体" w:hAnsi="宋体" w:eastAsia="宋体" w:cs="宋体"/>
          <w:szCs w:val="21"/>
          <w:lang w:val="en-US" w:eastAsia="zh-CN"/>
        </w:rPr>
      </w:pPr>
      <w:r>
        <w:rPr>
          <w:rFonts w:hint="default" w:ascii="宋体" w:hAnsi="宋体" w:eastAsia="宋体" w:cs="宋体"/>
          <w:szCs w:val="21"/>
          <w:lang w:val="en-US" w:eastAsia="zh-CN"/>
        </w:rPr>
        <w:t>GB/T 11133 石油产品、润滑油和添加剂中水含量的测定 卡尔费休库仑滴定法</w:t>
      </w:r>
    </w:p>
    <w:p w14:paraId="5544A6A4">
      <w:pPr>
        <w:pStyle w:val="24"/>
        <w:tabs>
          <w:tab w:val="center" w:pos="4201"/>
          <w:tab w:val="right" w:leader="dot" w:pos="9298"/>
        </w:tabs>
        <w:ind w:firstLine="420"/>
        <w:rPr>
          <w:rFonts w:hint="default" w:ascii="宋体" w:hAnsi="宋体" w:eastAsia="宋体" w:cs="宋体"/>
          <w:szCs w:val="21"/>
          <w:lang w:val="en-US" w:eastAsia="zh-CN"/>
        </w:rPr>
      </w:pPr>
      <w:r>
        <w:rPr>
          <w:rFonts w:hint="default" w:ascii="宋体" w:hAnsi="宋体" w:eastAsia="宋体" w:cs="宋体"/>
          <w:szCs w:val="21"/>
          <w:lang w:val="en-US" w:eastAsia="zh-CN"/>
        </w:rPr>
        <w:t>GB/T 11139 馏分燃料十六烷指数计算法</w:t>
      </w:r>
    </w:p>
    <w:p w14:paraId="45B9C9CE">
      <w:pPr>
        <w:pStyle w:val="24"/>
        <w:tabs>
          <w:tab w:val="center" w:pos="4201"/>
          <w:tab w:val="right" w:leader="dot" w:pos="9298"/>
        </w:tabs>
        <w:ind w:firstLine="420"/>
        <w:rPr>
          <w:rFonts w:hint="default" w:ascii="宋体" w:hAnsi="宋体" w:eastAsia="宋体" w:cs="宋体"/>
          <w:szCs w:val="21"/>
          <w:lang w:val="en-US" w:eastAsia="zh-CN"/>
        </w:rPr>
      </w:pPr>
      <w:r>
        <w:rPr>
          <w:rFonts w:hint="default" w:ascii="宋体" w:hAnsi="宋体" w:eastAsia="宋体" w:cs="宋体"/>
          <w:szCs w:val="21"/>
          <w:lang w:val="en-US" w:eastAsia="zh-CN"/>
        </w:rPr>
        <w:t>GB/T 11140 石油产品硫含量的测定 波长色散X射线荧光光谱法</w:t>
      </w:r>
    </w:p>
    <w:p w14:paraId="037FB0B7">
      <w:pPr>
        <w:pStyle w:val="24"/>
        <w:tabs>
          <w:tab w:val="center" w:pos="4201"/>
          <w:tab w:val="right" w:leader="dot" w:pos="9298"/>
        </w:tabs>
        <w:ind w:firstLine="420"/>
        <w:rPr>
          <w:rFonts w:hint="default" w:ascii="宋体" w:hAnsi="宋体" w:eastAsia="宋体" w:cs="宋体"/>
          <w:szCs w:val="21"/>
          <w:lang w:val="en-US" w:eastAsia="zh-CN"/>
        </w:rPr>
      </w:pPr>
      <w:r>
        <w:rPr>
          <w:rFonts w:hint="default" w:ascii="宋体" w:hAnsi="宋体" w:eastAsia="宋体" w:cs="宋体"/>
          <w:szCs w:val="21"/>
          <w:lang w:val="en-US" w:eastAsia="zh-CN"/>
        </w:rPr>
        <w:t>GB/T 17144 石油产品 残炭的测定 微量法</w:t>
      </w:r>
    </w:p>
    <w:p w14:paraId="43A6A39F">
      <w:pPr>
        <w:pStyle w:val="24"/>
        <w:tabs>
          <w:tab w:val="center" w:pos="4201"/>
          <w:tab w:val="right" w:leader="dot" w:pos="9298"/>
        </w:tabs>
        <w:ind w:firstLine="420"/>
        <w:rPr>
          <w:rFonts w:hint="default" w:ascii="宋体" w:hAnsi="宋体" w:eastAsia="宋体" w:cs="宋体"/>
          <w:szCs w:val="21"/>
          <w:lang w:val="en-US" w:eastAsia="zh-CN"/>
        </w:rPr>
      </w:pPr>
      <w:r>
        <w:rPr>
          <w:rFonts w:hint="default" w:ascii="宋体" w:hAnsi="宋体" w:eastAsia="宋体" w:cs="宋体"/>
          <w:szCs w:val="21"/>
          <w:lang w:val="en-US" w:eastAsia="zh-CN"/>
        </w:rPr>
        <w:t>GB/T 23801 中间馏分油中脂肪酸甲酯含量的测定 红外光谱法</w:t>
      </w:r>
    </w:p>
    <w:p w14:paraId="6ADFE4E6">
      <w:pPr>
        <w:pStyle w:val="24"/>
        <w:tabs>
          <w:tab w:val="center" w:pos="4201"/>
          <w:tab w:val="right" w:leader="dot" w:pos="9298"/>
        </w:tabs>
        <w:ind w:firstLine="420"/>
        <w:rPr>
          <w:rFonts w:hint="default" w:ascii="宋体" w:hAnsi="宋体" w:eastAsia="宋体" w:cs="宋体"/>
          <w:szCs w:val="21"/>
          <w:lang w:val="en-US" w:eastAsia="zh-CN"/>
        </w:rPr>
      </w:pPr>
      <w:r>
        <w:rPr>
          <w:rFonts w:hint="default" w:ascii="宋体" w:hAnsi="宋体" w:eastAsia="宋体" w:cs="宋体"/>
          <w:szCs w:val="21"/>
          <w:lang w:val="en-US" w:eastAsia="zh-CN"/>
        </w:rPr>
        <w:t>GB 30000.7-2013 化学品分类和标签规范 第7部分：易燃液体</w:t>
      </w:r>
    </w:p>
    <w:p w14:paraId="2A5D391A">
      <w:pPr>
        <w:pStyle w:val="24"/>
        <w:tabs>
          <w:tab w:val="center" w:pos="4201"/>
          <w:tab w:val="right" w:leader="dot" w:pos="9298"/>
        </w:tabs>
        <w:ind w:firstLine="420"/>
        <w:rPr>
          <w:rFonts w:hint="default" w:ascii="宋体" w:hAnsi="宋体" w:eastAsia="宋体" w:cs="宋体"/>
          <w:szCs w:val="21"/>
          <w:lang w:val="en-US" w:eastAsia="zh-CN"/>
        </w:rPr>
      </w:pPr>
      <w:r>
        <w:rPr>
          <w:rFonts w:hint="default" w:ascii="宋体" w:hAnsi="宋体" w:eastAsia="宋体" w:cs="宋体"/>
          <w:szCs w:val="21"/>
          <w:lang w:val="en-US" w:eastAsia="zh-CN"/>
        </w:rPr>
        <w:t>GB/T 30515 透明和不透明液体石油产品运动黏度 测定法及动力黏度计算法</w:t>
      </w:r>
    </w:p>
    <w:p w14:paraId="55646359">
      <w:pPr>
        <w:pStyle w:val="24"/>
        <w:tabs>
          <w:tab w:val="center" w:pos="4201"/>
          <w:tab w:val="right" w:leader="dot" w:pos="9298"/>
        </w:tabs>
        <w:ind w:firstLine="420"/>
        <w:rPr>
          <w:rFonts w:hint="default" w:ascii="宋体" w:hAnsi="宋体" w:eastAsia="宋体" w:cs="宋体"/>
          <w:szCs w:val="21"/>
          <w:lang w:val="en-US" w:eastAsia="zh-CN"/>
        </w:rPr>
      </w:pPr>
      <w:r>
        <w:rPr>
          <w:rFonts w:hint="default" w:ascii="宋体" w:hAnsi="宋体" w:eastAsia="宋体" w:cs="宋体"/>
          <w:szCs w:val="21"/>
          <w:lang w:val="en-US" w:eastAsia="zh-CN"/>
        </w:rPr>
        <w:t>GB/T 33400 中间馏分油、柴油及脂肪酸甲酯中总污染物含量测定法</w:t>
      </w:r>
    </w:p>
    <w:p w14:paraId="0744436C">
      <w:pPr>
        <w:pStyle w:val="24"/>
        <w:tabs>
          <w:tab w:val="center" w:pos="4201"/>
          <w:tab w:val="right" w:leader="dot" w:pos="9298"/>
        </w:tabs>
        <w:ind w:firstLine="420"/>
        <w:rPr>
          <w:rFonts w:hint="default" w:ascii="宋体" w:hAnsi="宋体" w:eastAsia="宋体" w:cs="宋体"/>
          <w:szCs w:val="21"/>
          <w:lang w:val="en-US" w:eastAsia="zh-CN"/>
        </w:rPr>
      </w:pPr>
      <w:r>
        <w:rPr>
          <w:rFonts w:hint="default" w:ascii="宋体" w:hAnsi="宋体" w:eastAsia="宋体" w:cs="宋体"/>
          <w:szCs w:val="21"/>
          <w:lang w:val="en-US" w:eastAsia="zh-CN"/>
        </w:rPr>
        <w:t>SH 0164 石油产品包装、贮运及交货验收规则</w:t>
      </w:r>
    </w:p>
    <w:p w14:paraId="60DB43E6">
      <w:pPr>
        <w:pStyle w:val="24"/>
        <w:tabs>
          <w:tab w:val="center" w:pos="4201"/>
          <w:tab w:val="right" w:leader="dot" w:pos="9298"/>
        </w:tabs>
        <w:ind w:firstLine="420"/>
        <w:rPr>
          <w:rFonts w:hint="default" w:ascii="宋体" w:hAnsi="宋体" w:eastAsia="宋体" w:cs="宋体"/>
          <w:szCs w:val="21"/>
          <w:lang w:val="en-US" w:eastAsia="zh-CN"/>
        </w:rPr>
      </w:pPr>
      <w:r>
        <w:rPr>
          <w:rFonts w:hint="default" w:ascii="宋体" w:hAnsi="宋体" w:eastAsia="宋体" w:cs="宋体"/>
          <w:szCs w:val="21"/>
          <w:lang w:val="en-US" w:eastAsia="zh-CN"/>
        </w:rPr>
        <w:t>SH/T 0175 馏分燃料油氧化安定性测定法（加速法）</w:t>
      </w:r>
    </w:p>
    <w:p w14:paraId="56C8BB33">
      <w:pPr>
        <w:pStyle w:val="24"/>
        <w:tabs>
          <w:tab w:val="center" w:pos="4201"/>
          <w:tab w:val="right" w:leader="dot" w:pos="9298"/>
        </w:tabs>
        <w:ind w:firstLine="420"/>
        <w:rPr>
          <w:rFonts w:hint="default" w:ascii="宋体" w:hAnsi="宋体" w:eastAsia="宋体" w:cs="宋体"/>
          <w:szCs w:val="21"/>
          <w:lang w:val="en-US" w:eastAsia="zh-CN"/>
        </w:rPr>
      </w:pPr>
      <w:r>
        <w:rPr>
          <w:rFonts w:hint="default" w:ascii="宋体" w:hAnsi="宋体" w:eastAsia="宋体" w:cs="宋体"/>
          <w:szCs w:val="21"/>
          <w:lang w:val="en-US" w:eastAsia="zh-CN"/>
        </w:rPr>
        <w:t>SH/T 0246 轻质石油中水含量测定法（电量法）</w:t>
      </w:r>
    </w:p>
    <w:p w14:paraId="6DC27BE6">
      <w:pPr>
        <w:pStyle w:val="24"/>
        <w:tabs>
          <w:tab w:val="center" w:pos="4201"/>
          <w:tab w:val="right" w:leader="dot" w:pos="9298"/>
        </w:tabs>
        <w:ind w:firstLine="420"/>
        <w:rPr>
          <w:rFonts w:hint="default" w:ascii="宋体" w:hAnsi="宋体" w:eastAsia="宋体" w:cs="宋体"/>
          <w:szCs w:val="21"/>
          <w:lang w:val="en-US" w:eastAsia="zh-CN"/>
        </w:rPr>
      </w:pPr>
      <w:r>
        <w:rPr>
          <w:rFonts w:hint="default" w:ascii="宋体" w:hAnsi="宋体" w:eastAsia="宋体" w:cs="宋体"/>
          <w:szCs w:val="21"/>
          <w:lang w:val="en-US" w:eastAsia="zh-CN"/>
        </w:rPr>
        <w:t>SH/T 0604 原油和石油产品密度测定法（U形振动管法）</w:t>
      </w:r>
    </w:p>
    <w:p w14:paraId="591827BB">
      <w:pPr>
        <w:pStyle w:val="24"/>
        <w:tabs>
          <w:tab w:val="center" w:pos="4201"/>
          <w:tab w:val="right" w:leader="dot" w:pos="9298"/>
        </w:tabs>
        <w:ind w:firstLine="420"/>
        <w:rPr>
          <w:rFonts w:hint="default" w:ascii="宋体" w:hAnsi="宋体" w:eastAsia="宋体" w:cs="宋体"/>
          <w:szCs w:val="21"/>
          <w:lang w:val="en-US" w:eastAsia="zh-CN"/>
        </w:rPr>
      </w:pPr>
      <w:r>
        <w:rPr>
          <w:rFonts w:hint="default" w:ascii="宋体" w:hAnsi="宋体" w:eastAsia="宋体" w:cs="宋体"/>
          <w:szCs w:val="21"/>
          <w:lang w:val="en-US" w:eastAsia="zh-CN"/>
        </w:rPr>
        <w:t>SH/T 0606 中间馏分烃类组成测定法（质谱法）</w:t>
      </w:r>
    </w:p>
    <w:p w14:paraId="0EB91078">
      <w:pPr>
        <w:pStyle w:val="24"/>
        <w:tabs>
          <w:tab w:val="center" w:pos="4201"/>
          <w:tab w:val="right" w:leader="dot" w:pos="9298"/>
        </w:tabs>
        <w:ind w:firstLine="420"/>
        <w:rPr>
          <w:rFonts w:hint="default" w:ascii="宋体" w:hAnsi="宋体" w:eastAsia="宋体" w:cs="宋体"/>
          <w:szCs w:val="21"/>
          <w:lang w:val="en-US" w:eastAsia="zh-CN"/>
        </w:rPr>
      </w:pPr>
      <w:r>
        <w:rPr>
          <w:rFonts w:hint="default" w:ascii="宋体" w:hAnsi="宋体" w:eastAsia="宋体" w:cs="宋体"/>
          <w:szCs w:val="21"/>
          <w:lang w:val="en-US" w:eastAsia="zh-CN"/>
        </w:rPr>
        <w:t>SH/T 0689 轻质烃及发动机燃料和其他油品的总硫含量测定法（紫外荧光法）</w:t>
      </w:r>
    </w:p>
    <w:p w14:paraId="6CB995C5">
      <w:pPr>
        <w:pStyle w:val="24"/>
        <w:tabs>
          <w:tab w:val="center" w:pos="4201"/>
          <w:tab w:val="right" w:leader="dot" w:pos="9298"/>
        </w:tabs>
        <w:ind w:firstLine="420"/>
        <w:rPr>
          <w:rFonts w:hint="default" w:ascii="宋体" w:hAnsi="宋体" w:eastAsia="宋体" w:cs="宋体"/>
          <w:szCs w:val="21"/>
          <w:lang w:val="en-US" w:eastAsia="zh-CN"/>
        </w:rPr>
      </w:pPr>
      <w:r>
        <w:rPr>
          <w:rFonts w:hint="default" w:ascii="宋体" w:hAnsi="宋体" w:eastAsia="宋体" w:cs="宋体"/>
          <w:szCs w:val="21"/>
          <w:lang w:val="en-US" w:eastAsia="zh-CN"/>
        </w:rPr>
        <w:t>SH/T 0694 中间馏分燃料十六烷指数计算法（四变量公式法）</w:t>
      </w:r>
    </w:p>
    <w:p w14:paraId="26B3A007">
      <w:pPr>
        <w:pStyle w:val="24"/>
        <w:tabs>
          <w:tab w:val="center" w:pos="4201"/>
          <w:tab w:val="right" w:leader="dot" w:pos="9298"/>
        </w:tabs>
        <w:ind w:firstLine="420"/>
        <w:rPr>
          <w:rFonts w:hint="default" w:ascii="宋体" w:hAnsi="宋体" w:eastAsia="宋体" w:cs="宋体"/>
          <w:szCs w:val="21"/>
          <w:lang w:val="en-US" w:eastAsia="zh-CN"/>
        </w:rPr>
      </w:pPr>
      <w:r>
        <w:rPr>
          <w:rFonts w:hint="default" w:ascii="宋体" w:hAnsi="宋体" w:eastAsia="宋体" w:cs="宋体"/>
          <w:szCs w:val="21"/>
          <w:lang w:val="en-US" w:eastAsia="zh-CN"/>
        </w:rPr>
        <w:t>NB/SH/T 0164 石油及相关产品包装、储运及交货验收规则</w:t>
      </w:r>
    </w:p>
    <w:p w14:paraId="540EF0F4">
      <w:pPr>
        <w:pStyle w:val="24"/>
        <w:tabs>
          <w:tab w:val="center" w:pos="4201"/>
          <w:tab w:val="right" w:leader="dot" w:pos="9298"/>
        </w:tabs>
        <w:ind w:firstLine="420"/>
        <w:rPr>
          <w:rFonts w:hint="default" w:ascii="宋体" w:hAnsi="宋体" w:eastAsia="宋体" w:cs="宋体"/>
          <w:szCs w:val="21"/>
          <w:lang w:val="en-US" w:eastAsia="zh-CN"/>
        </w:rPr>
      </w:pPr>
      <w:r>
        <w:rPr>
          <w:rFonts w:hint="default" w:ascii="宋体" w:hAnsi="宋体" w:eastAsia="宋体" w:cs="宋体"/>
          <w:szCs w:val="21"/>
          <w:lang w:val="en-US" w:eastAsia="zh-CN"/>
        </w:rPr>
        <w:t>NB/SH/T 0248 柴油和民用取暖油冷虑点测定法</w:t>
      </w:r>
    </w:p>
    <w:p w14:paraId="5C3E9442">
      <w:pPr>
        <w:pStyle w:val="24"/>
        <w:tabs>
          <w:tab w:val="center" w:pos="4201"/>
          <w:tab w:val="right" w:leader="dot" w:pos="9298"/>
        </w:tabs>
        <w:ind w:firstLine="420"/>
        <w:rPr>
          <w:rFonts w:hint="default" w:ascii="宋体" w:hAnsi="宋体" w:eastAsia="宋体" w:cs="宋体"/>
          <w:szCs w:val="21"/>
          <w:lang w:val="en-US" w:eastAsia="zh-CN"/>
        </w:rPr>
      </w:pPr>
      <w:r>
        <w:rPr>
          <w:rFonts w:hint="default" w:ascii="宋体" w:hAnsi="宋体" w:eastAsia="宋体" w:cs="宋体"/>
          <w:szCs w:val="21"/>
          <w:lang w:val="en-US" w:eastAsia="zh-CN"/>
        </w:rPr>
        <w:t>NB/SH/T 0606 中间馏分烃类组成的测定 质谱法</w:t>
      </w:r>
    </w:p>
    <w:p w14:paraId="67CA9D16">
      <w:pPr>
        <w:pStyle w:val="24"/>
        <w:tabs>
          <w:tab w:val="center" w:pos="4201"/>
          <w:tab w:val="right" w:leader="dot" w:pos="9298"/>
        </w:tabs>
        <w:ind w:firstLine="420"/>
        <w:rPr>
          <w:rFonts w:hint="default" w:ascii="宋体" w:hAnsi="宋体" w:eastAsia="宋体" w:cs="宋体"/>
          <w:szCs w:val="21"/>
          <w:lang w:val="en-US" w:eastAsia="zh-CN"/>
        </w:rPr>
      </w:pPr>
      <w:r>
        <w:rPr>
          <w:rFonts w:hint="default" w:ascii="宋体" w:hAnsi="宋体" w:eastAsia="宋体" w:cs="宋体"/>
          <w:szCs w:val="21"/>
          <w:lang w:val="en-US" w:eastAsia="zh-CN"/>
        </w:rPr>
        <w:t>NB/SH/T 0765 柴油润滑性的评定 高频往复式试验机法</w:t>
      </w:r>
    </w:p>
    <w:p w14:paraId="62F95185">
      <w:pPr>
        <w:pStyle w:val="24"/>
        <w:tabs>
          <w:tab w:val="center" w:pos="4201"/>
          <w:tab w:val="right" w:leader="dot" w:pos="9298"/>
        </w:tabs>
        <w:ind w:firstLine="420"/>
        <w:rPr>
          <w:rFonts w:hint="default" w:ascii="宋体" w:hAnsi="宋体" w:eastAsia="宋体" w:cs="宋体"/>
          <w:szCs w:val="21"/>
          <w:lang w:val="en-US" w:eastAsia="zh-CN"/>
        </w:rPr>
      </w:pPr>
      <w:r>
        <w:rPr>
          <w:rFonts w:hint="default" w:ascii="宋体" w:hAnsi="宋体" w:eastAsia="宋体" w:cs="宋体"/>
          <w:szCs w:val="21"/>
          <w:lang w:val="en-US" w:eastAsia="zh-CN"/>
        </w:rPr>
        <w:t>NB/SH/T 0806 中间馏分芳烃含量的测定 示差折光检测器高效液相色谱法</w:t>
      </w:r>
    </w:p>
    <w:p w14:paraId="11B9572D">
      <w:pPr>
        <w:pStyle w:val="24"/>
        <w:tabs>
          <w:tab w:val="center" w:pos="4201"/>
          <w:tab w:val="right" w:leader="dot" w:pos="9298"/>
        </w:tabs>
        <w:ind w:firstLine="420"/>
        <w:rPr>
          <w:rFonts w:hint="default" w:ascii="宋体" w:hAnsi="宋体" w:eastAsia="宋体" w:cs="宋体"/>
          <w:szCs w:val="21"/>
          <w:lang w:val="en-US" w:eastAsia="zh-CN"/>
        </w:rPr>
      </w:pPr>
      <w:r>
        <w:rPr>
          <w:rFonts w:hint="default" w:ascii="宋体" w:hAnsi="宋体" w:eastAsia="宋体" w:cs="宋体"/>
          <w:szCs w:val="21"/>
          <w:lang w:val="en-US" w:eastAsia="zh-CN"/>
        </w:rPr>
        <w:t>NB/SH/T 0916 柴油燃料中生物柴油（脂肪酸甲酯）含量的测定 红外光谱法</w:t>
      </w:r>
    </w:p>
    <w:p w14:paraId="0E52167E">
      <w:pPr>
        <w:pStyle w:val="24"/>
        <w:tabs>
          <w:tab w:val="center" w:pos="4201"/>
          <w:tab w:val="right" w:leader="dot" w:pos="9298"/>
        </w:tabs>
        <w:ind w:firstLine="420"/>
        <w:rPr>
          <w:rFonts w:hint="default" w:ascii="宋体" w:hAnsi="宋体" w:eastAsia="宋体" w:cs="宋体"/>
          <w:szCs w:val="21"/>
          <w:lang w:val="en-US" w:eastAsia="zh-CN"/>
        </w:rPr>
      </w:pPr>
      <w:r>
        <w:rPr>
          <w:rFonts w:hint="default" w:ascii="宋体" w:hAnsi="宋体" w:eastAsia="宋体" w:cs="宋体"/>
          <w:szCs w:val="21"/>
          <w:lang w:val="en-US" w:eastAsia="zh-CN"/>
        </w:rPr>
        <w:t>国外标准（按英文字母A-Z顺序排列）</w:t>
      </w:r>
    </w:p>
    <w:p w14:paraId="7E359BA3">
      <w:pPr>
        <w:pStyle w:val="24"/>
        <w:tabs>
          <w:tab w:val="center" w:pos="4201"/>
          <w:tab w:val="right" w:leader="dot" w:pos="9298"/>
        </w:tabs>
        <w:ind w:firstLine="420"/>
        <w:rPr>
          <w:rFonts w:hint="default" w:ascii="宋体" w:hAnsi="宋体" w:eastAsia="宋体" w:cs="宋体"/>
          <w:szCs w:val="21"/>
          <w:lang w:val="en-US" w:eastAsia="zh-CN"/>
        </w:rPr>
      </w:pPr>
      <w:r>
        <w:rPr>
          <w:rFonts w:hint="default" w:ascii="宋体" w:hAnsi="宋体" w:eastAsia="宋体" w:cs="宋体"/>
          <w:szCs w:val="21"/>
          <w:lang w:val="en-US" w:eastAsia="zh-CN"/>
        </w:rPr>
        <w:t>ASTM D5304 用氧气过压法评定中间馏分燃料储存稳定性的试验方法（Standard Test Method for Assessing Middle Distillate Fuel Storage Stability by Oxygen Overpressure）</w:t>
      </w:r>
    </w:p>
    <w:p w14:paraId="7D82306D">
      <w:pPr>
        <w:pStyle w:val="24"/>
        <w:tabs>
          <w:tab w:val="center" w:pos="4201"/>
          <w:tab w:val="right" w:leader="dot" w:pos="9298"/>
        </w:tabs>
        <w:ind w:firstLine="420"/>
        <w:rPr>
          <w:rFonts w:hint="eastAsia" w:cs="宋体"/>
          <w:szCs w:val="21"/>
        </w:rPr>
      </w:pPr>
      <w:r>
        <w:rPr>
          <w:rFonts w:hint="default" w:ascii="宋体" w:hAnsi="宋体" w:eastAsia="宋体" w:cs="宋体"/>
          <w:szCs w:val="21"/>
          <w:lang w:val="en-US" w:eastAsia="zh-CN"/>
        </w:rPr>
        <w:t>ASTM D7039 汽油、柴油、喷气燃料、煤油、生物柴油、生物调和柴油以及乙醇汽油中硫含量的测定（单波长色散X射线荧光光谱法）（Standard Test Method for Sulfur in Gasoline, Diesel FueL Jet Fuel, Kerosine, Biodiesel, Biodiesel Blends, and Gasoline-Ethanol Blends by Monochromatic Wavelength Dispersive X-ray Fluorescence Spectrometry）</w:t>
      </w:r>
    </w:p>
    <w:p w14:paraId="277BB581">
      <w:pPr>
        <w:pStyle w:val="38"/>
        <w:rPr>
          <w:rFonts w:hint="eastAsia"/>
        </w:rPr>
      </w:pPr>
      <w:bookmarkStart w:id="8" w:name="_Toc5170"/>
      <w:r>
        <w:rPr>
          <w:rFonts w:hint="eastAsia"/>
        </w:rPr>
        <w:t>3　术语和定义</w:t>
      </w:r>
      <w:bookmarkEnd w:id="8"/>
    </w:p>
    <w:p w14:paraId="5A310389">
      <w:pPr>
        <w:pStyle w:val="24"/>
        <w:ind w:firstLine="420"/>
        <w:rPr>
          <w:rFonts w:hint="eastAsia"/>
        </w:rPr>
      </w:pPr>
      <w:r>
        <w:rPr>
          <w:rFonts w:hint="eastAsia"/>
        </w:rPr>
        <w:t>下列术语和定义适用于本文件。</w:t>
      </w:r>
    </w:p>
    <w:p w14:paraId="4FEEDB3F">
      <w:pPr>
        <w:pStyle w:val="37"/>
        <w:rPr>
          <w:rFonts w:hint="eastAsia"/>
        </w:rPr>
      </w:pPr>
      <w:bookmarkStart w:id="9" w:name="_Toc198645608"/>
      <w:bookmarkStart w:id="10" w:name="_Toc198645760"/>
      <w:bookmarkStart w:id="11" w:name="_Toc198646096"/>
      <w:bookmarkStart w:id="12" w:name="_Toc198646025"/>
      <w:bookmarkStart w:id="13" w:name="_Toc7802"/>
      <w:r>
        <w:rPr>
          <w:rFonts w:hint="eastAsia"/>
        </w:rPr>
        <w:t>3.1</w:t>
      </w:r>
      <w:bookmarkEnd w:id="9"/>
      <w:bookmarkEnd w:id="10"/>
      <w:bookmarkEnd w:id="11"/>
      <w:bookmarkEnd w:id="12"/>
      <w:bookmarkEnd w:id="13"/>
      <w:r>
        <w:rPr>
          <w:rFonts w:hint="eastAsia"/>
        </w:rPr>
        <w:t>　</w:t>
      </w:r>
    </w:p>
    <w:p w14:paraId="195DE15F">
      <w:pPr>
        <w:pStyle w:val="26"/>
        <w:ind w:left="420"/>
        <w:rPr>
          <w:rFonts w:hint="eastAsia" w:eastAsia="黑体"/>
          <w:lang w:val="en-US" w:eastAsia="zh-CN"/>
        </w:rPr>
      </w:pPr>
      <w:r>
        <w:rPr>
          <w:rFonts w:hint="eastAsia"/>
          <w:lang w:val="en-US" w:eastAsia="zh-CN"/>
        </w:rPr>
        <w:t>多环芳烃含量 content of polycyclic arcomatic hydrocarbons</w:t>
      </w:r>
    </w:p>
    <w:p w14:paraId="419BB90D">
      <w:pPr>
        <w:pStyle w:val="24"/>
        <w:ind w:firstLine="420"/>
        <w:rPr>
          <w:rFonts w:hint="eastAsia"/>
        </w:rPr>
      </w:pPr>
      <w:r>
        <w:rPr>
          <w:rFonts w:hint="eastAsia"/>
        </w:rPr>
        <w:t>柴油中的总芳烃含量减去单环芳烃的含量。</w:t>
      </w:r>
    </w:p>
    <w:p w14:paraId="162D47A3">
      <w:pPr>
        <w:pStyle w:val="38"/>
        <w:rPr>
          <w:rFonts w:hint="eastAsia"/>
        </w:rPr>
      </w:pPr>
      <w:bookmarkStart w:id="14" w:name="_Toc511374136"/>
      <w:bookmarkStart w:id="15" w:name="_Toc1085"/>
      <w:r>
        <w:rPr>
          <w:rFonts w:hint="eastAsia"/>
        </w:rPr>
        <w:t>4</w:t>
      </w:r>
      <w:bookmarkEnd w:id="14"/>
      <w:r>
        <w:rPr>
          <w:rFonts w:hint="eastAsia"/>
        </w:rPr>
        <w:t>　产品类型</w:t>
      </w:r>
      <w:bookmarkEnd w:id="15"/>
    </w:p>
    <w:p w14:paraId="6221E672">
      <w:pPr>
        <w:pStyle w:val="37"/>
        <w:rPr>
          <w:rFonts w:hint="eastAsia"/>
        </w:rPr>
      </w:pPr>
      <w:bookmarkStart w:id="16" w:name="_Toc10255"/>
      <w:r>
        <w:rPr>
          <w:rFonts w:hint="eastAsia"/>
        </w:rPr>
        <w:t>4.1　要素的分类</w:t>
      </w:r>
      <w:bookmarkEnd w:id="16"/>
    </w:p>
    <w:p w14:paraId="1DAF6C9E">
      <w:pPr>
        <w:pStyle w:val="24"/>
        <w:ind w:firstLine="420"/>
        <w:rPr>
          <w:rFonts w:hint="eastAsia"/>
        </w:rPr>
      </w:pPr>
      <w:r>
        <w:rPr>
          <w:rFonts w:hint="eastAsia"/>
        </w:rPr>
        <w:t>应急柴油发电机组用抗氧化燃料按凝点分为两个牌号：</w:t>
      </w:r>
    </w:p>
    <w:p w14:paraId="181D7126">
      <w:pPr>
        <w:pStyle w:val="24"/>
        <w:ind w:firstLine="420"/>
        <w:rPr>
          <w:rFonts w:hint="eastAsia"/>
        </w:rPr>
      </w:pPr>
      <w:r>
        <w:rPr>
          <w:rFonts w:hint="eastAsia"/>
        </w:rPr>
        <w:t>0号应急柴油发电机组用抗氧化燃料：适用于风险率为10%的最低温度在4℃以上的地区使用；</w:t>
      </w:r>
    </w:p>
    <w:p w14:paraId="76C7C464">
      <w:pPr>
        <w:pStyle w:val="24"/>
        <w:ind w:firstLine="420"/>
        <w:rPr>
          <w:rFonts w:hint="eastAsia"/>
        </w:rPr>
      </w:pPr>
      <w:r>
        <w:rPr>
          <w:rFonts w:hint="eastAsia"/>
        </w:rPr>
        <w:t>-35号应急柴油发电机组用抗氧化燃料：适用于风险率为10%的最低温度在-29℃以上的地区使用。</w:t>
      </w:r>
    </w:p>
    <w:p w14:paraId="49962AB8">
      <w:pPr>
        <w:pStyle w:val="38"/>
        <w:rPr>
          <w:rFonts w:hint="eastAsia"/>
        </w:rPr>
      </w:pPr>
      <w:bookmarkStart w:id="17" w:name="_Toc21623"/>
      <w:r>
        <w:rPr>
          <w:rFonts w:hint="eastAsia"/>
        </w:rPr>
        <w:t>5　技术要求和试验方法</w:t>
      </w:r>
      <w:bookmarkEnd w:id="17"/>
    </w:p>
    <w:p w14:paraId="6D0ABEEE">
      <w:pPr>
        <w:pStyle w:val="24"/>
        <w:ind w:left="0" w:leftChars="0" w:firstLine="0" w:firstLineChars="0"/>
        <w:rPr>
          <w:rFonts w:hint="eastAsia" w:ascii="宋体" w:hAnsi="宋体" w:eastAsia="宋体" w:cs="Times New Roman"/>
        </w:rPr>
      </w:pPr>
      <w:r>
        <w:rPr>
          <w:rFonts w:hint="eastAsia" w:ascii="宋体" w:hAnsi="宋体" w:eastAsia="宋体" w:cs="Times New Roman"/>
        </w:rPr>
        <w:t>5.1　应急柴油发电机组用抗氧化燃料中所使用的添加剂应无公认的有害作用，添加剂应按推荐的适宜用量使用。应急柴油发电机组用抗氧化燃料中不应含有任何可导致发动机无法正常运行的添加物和污染物。应急柴油发电机组用抗氧化燃料中不得人为加入甲醇。</w:t>
      </w:r>
    </w:p>
    <w:p w14:paraId="582BF0DD">
      <w:pPr>
        <w:pStyle w:val="24"/>
        <w:ind w:left="0" w:leftChars="0" w:firstLine="0" w:firstLineChars="0"/>
        <w:rPr>
          <w:rFonts w:hint="eastAsia" w:ascii="宋体" w:hAnsi="宋体" w:eastAsia="宋体" w:cs="Times New Roman"/>
        </w:rPr>
      </w:pPr>
      <w:r>
        <w:rPr>
          <w:rFonts w:hint="eastAsia" w:ascii="宋体" w:hAnsi="宋体" w:eastAsia="宋体" w:cs="Times New Roman"/>
        </w:rPr>
        <w:t>5.2　应急柴油发电机组用抗氧化燃料的技术要求和试验方法见表1。</w:t>
      </w:r>
    </w:p>
    <w:p w14:paraId="38CBE1D4">
      <w:pPr>
        <w:numPr>
          <w:ilvl w:val="0"/>
          <w:numId w:val="1"/>
        </w:numPr>
        <w:spacing w:before="156" w:beforeLines="50" w:after="156" w:afterLines="50"/>
        <w:ind w:left="0"/>
        <w:jc w:val="center"/>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应急柴油发电机组用抗氧化燃料技术要求和试验方法</w:t>
      </w:r>
    </w:p>
    <w:tbl>
      <w:tblPr>
        <w:tblStyle w:val="17"/>
        <w:tblW w:w="9570" w:type="dxa"/>
        <w:jc w:val="center"/>
        <w:tblBorders>
          <w:top w:val="single" w:color="000000" w:sz="12" w:space="0"/>
          <w:left w:val="single" w:color="000000" w:sz="12" w:space="0"/>
          <w:bottom w:val="single" w:color="000000" w:sz="12" w:space="0"/>
          <w:right w:val="single" w:color="000000" w:sz="12" w:space="0"/>
          <w:insideH w:val="single" w:color="auto" w:sz="4" w:space="0"/>
          <w:insideV w:val="none" w:color="auto" w:sz="0" w:space="0"/>
        </w:tblBorders>
        <w:shd w:val="clear" w:color="auto" w:fill="FFFFFF" w:themeFill="background1"/>
        <w:tblLayout w:type="autofit"/>
        <w:tblCellMar>
          <w:top w:w="0" w:type="dxa"/>
          <w:left w:w="108" w:type="dxa"/>
          <w:bottom w:w="0" w:type="dxa"/>
          <w:right w:w="108" w:type="dxa"/>
        </w:tblCellMar>
      </w:tblPr>
      <w:tblGrid>
        <w:gridCol w:w="4902"/>
        <w:gridCol w:w="893"/>
        <w:gridCol w:w="1160"/>
        <w:gridCol w:w="1162"/>
        <w:gridCol w:w="1453"/>
      </w:tblGrid>
      <w:tr w14:paraId="66112179">
        <w:tblPrEx>
          <w:tblBorders>
            <w:top w:val="single" w:color="000000" w:sz="12" w:space="0"/>
            <w:left w:val="single" w:color="000000" w:sz="12" w:space="0"/>
            <w:bottom w:val="single" w:color="000000" w:sz="12" w:space="0"/>
            <w:right w:val="single" w:color="000000" w:sz="12" w:space="0"/>
            <w:insideH w:val="single" w:color="auto" w:sz="4" w:space="0"/>
            <w:insideV w:val="none" w:color="auto" w:sz="0" w:space="0"/>
          </w:tblBorders>
          <w:shd w:val="clear" w:color="auto" w:fill="FFFFFF" w:themeFill="background1"/>
          <w:tblCellMar>
            <w:top w:w="0" w:type="dxa"/>
            <w:left w:w="108" w:type="dxa"/>
            <w:bottom w:w="0" w:type="dxa"/>
            <w:right w:w="108" w:type="dxa"/>
          </w:tblCellMar>
        </w:tblPrEx>
        <w:trPr>
          <w:trHeight w:val="0" w:hRule="atLeast"/>
          <w:jc w:val="center"/>
        </w:trPr>
        <w:tc>
          <w:tcPr>
            <w:tcW w:w="5795" w:type="dxa"/>
            <w:gridSpan w:val="2"/>
            <w:vMerge w:val="restart"/>
            <w:tcBorders>
              <w:right w:val="single" w:color="000000" w:sz="4" w:space="0"/>
            </w:tcBorders>
            <w:shd w:val="clear" w:color="auto" w:fill="FFFFFF" w:themeFill="background1"/>
            <w:vAlign w:val="center"/>
          </w:tcPr>
          <w:p w14:paraId="00A35E7B">
            <w:pPr>
              <w:snapToGrid w:val="0"/>
              <w:jc w:val="center"/>
              <w:rPr>
                <w:rFonts w:hint="eastAsia" w:ascii="宋体" w:hAnsi="宋体" w:eastAsia="宋体" w:cs="宋体"/>
                <w:sz w:val="18"/>
                <w:szCs w:val="18"/>
              </w:rPr>
            </w:pPr>
            <w:r>
              <w:rPr>
                <w:rFonts w:hint="eastAsia" w:ascii="宋体" w:hAnsi="宋体" w:eastAsia="宋体" w:cs="宋体"/>
                <w:sz w:val="18"/>
                <w:szCs w:val="18"/>
              </w:rPr>
              <w:t>项  目</w:t>
            </w:r>
          </w:p>
        </w:tc>
        <w:tc>
          <w:tcPr>
            <w:tcW w:w="2322" w:type="dxa"/>
            <w:gridSpan w:val="2"/>
            <w:tcBorders>
              <w:left w:val="single" w:color="000000" w:sz="4" w:space="0"/>
              <w:bottom w:val="single" w:color="000000" w:sz="4" w:space="0"/>
              <w:right w:val="single" w:color="000000" w:sz="4" w:space="0"/>
            </w:tcBorders>
            <w:shd w:val="clear" w:color="auto" w:fill="FFFFFF" w:themeFill="background1"/>
            <w:vAlign w:val="center"/>
          </w:tcPr>
          <w:p w14:paraId="166C4DB5">
            <w:pPr>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质量指标</w:t>
            </w:r>
          </w:p>
        </w:tc>
        <w:tc>
          <w:tcPr>
            <w:tcW w:w="1453" w:type="dxa"/>
            <w:vMerge w:val="restart"/>
            <w:tcBorders>
              <w:left w:val="single" w:color="000000" w:sz="4" w:space="0"/>
              <w:bottom w:val="single" w:color="000000" w:sz="12" w:space="0"/>
            </w:tcBorders>
            <w:shd w:val="clear" w:color="auto" w:fill="FFFFFF" w:themeFill="background1"/>
            <w:vAlign w:val="center"/>
          </w:tcPr>
          <w:p w14:paraId="53EDD4FF">
            <w:pPr>
              <w:snapToGrid w:val="0"/>
              <w:jc w:val="center"/>
              <w:rPr>
                <w:rFonts w:hint="eastAsia" w:ascii="宋体" w:hAnsi="宋体" w:eastAsia="宋体" w:cs="宋体"/>
                <w:sz w:val="18"/>
                <w:szCs w:val="18"/>
              </w:rPr>
            </w:pPr>
            <w:r>
              <w:rPr>
                <w:rFonts w:hint="eastAsia" w:ascii="宋体" w:hAnsi="宋体" w:eastAsia="宋体" w:cs="宋体"/>
                <w:sz w:val="18"/>
                <w:szCs w:val="18"/>
              </w:rPr>
              <w:t>试验方法</w:t>
            </w:r>
          </w:p>
        </w:tc>
      </w:tr>
      <w:tr w14:paraId="5FC045FA">
        <w:tblPrEx>
          <w:tblBorders>
            <w:top w:val="single" w:color="000000" w:sz="12" w:space="0"/>
            <w:left w:val="single" w:color="000000" w:sz="12" w:space="0"/>
            <w:bottom w:val="single" w:color="000000" w:sz="12" w:space="0"/>
            <w:right w:val="single" w:color="000000" w:sz="12" w:space="0"/>
            <w:insideH w:val="single" w:color="auto" w:sz="4" w:space="0"/>
            <w:insideV w:val="none" w:color="auto" w:sz="0" w:space="0"/>
          </w:tblBorders>
          <w:tblCellMar>
            <w:top w:w="0" w:type="dxa"/>
            <w:left w:w="108" w:type="dxa"/>
            <w:bottom w:w="0" w:type="dxa"/>
            <w:right w:w="108" w:type="dxa"/>
          </w:tblCellMar>
        </w:tblPrEx>
        <w:trPr>
          <w:trHeight w:val="0" w:hRule="atLeast"/>
          <w:jc w:val="center"/>
        </w:trPr>
        <w:tc>
          <w:tcPr>
            <w:tcW w:w="5795" w:type="dxa"/>
            <w:gridSpan w:val="2"/>
            <w:vMerge w:val="continue"/>
            <w:tcBorders>
              <w:bottom w:val="single" w:color="000000" w:sz="12" w:space="0"/>
              <w:right w:val="single" w:color="000000" w:sz="4" w:space="0"/>
            </w:tcBorders>
            <w:shd w:val="clear" w:color="auto" w:fill="FFFFFF" w:themeFill="background1"/>
            <w:vAlign w:val="center"/>
          </w:tcPr>
          <w:p w14:paraId="3A3E1798">
            <w:pPr>
              <w:snapToGrid w:val="0"/>
              <w:jc w:val="center"/>
              <w:rPr>
                <w:rFonts w:hint="eastAsia" w:ascii="宋体" w:hAnsi="宋体" w:eastAsia="宋体" w:cs="宋体"/>
                <w:sz w:val="18"/>
                <w:szCs w:val="18"/>
              </w:rPr>
            </w:pPr>
          </w:p>
        </w:tc>
        <w:tc>
          <w:tcPr>
            <w:tcW w:w="1160" w:type="dxa"/>
            <w:tcBorders>
              <w:top w:val="single" w:color="000000" w:sz="4" w:space="0"/>
              <w:left w:val="single" w:color="000000" w:sz="4" w:space="0"/>
              <w:bottom w:val="single" w:color="000000" w:sz="12" w:space="0"/>
              <w:right w:val="single" w:color="000000" w:sz="4" w:space="0"/>
            </w:tcBorders>
            <w:shd w:val="clear" w:color="auto" w:fill="FFFFFF" w:themeFill="background1"/>
            <w:vAlign w:val="center"/>
          </w:tcPr>
          <w:p w14:paraId="7B1BE6A0">
            <w:pPr>
              <w:snapToGrid w:val="0"/>
              <w:jc w:val="center"/>
              <w:rPr>
                <w:rFonts w:hint="eastAsia" w:ascii="宋体" w:hAnsi="宋体" w:eastAsia="宋体" w:cs="宋体"/>
                <w:sz w:val="18"/>
                <w:szCs w:val="18"/>
              </w:rPr>
            </w:pPr>
            <w:r>
              <w:rPr>
                <w:rFonts w:hint="eastAsia" w:ascii="宋体" w:hAnsi="宋体" w:eastAsia="宋体" w:cs="宋体"/>
                <w:sz w:val="18"/>
                <w:szCs w:val="18"/>
              </w:rPr>
              <w:t>0号</w:t>
            </w:r>
          </w:p>
        </w:tc>
        <w:tc>
          <w:tcPr>
            <w:tcW w:w="1162" w:type="dxa"/>
            <w:tcBorders>
              <w:top w:val="single" w:color="000000" w:sz="4" w:space="0"/>
              <w:left w:val="single" w:color="000000" w:sz="4" w:space="0"/>
              <w:bottom w:val="single" w:color="000000" w:sz="12" w:space="0"/>
              <w:right w:val="single" w:color="000000" w:sz="4" w:space="0"/>
            </w:tcBorders>
            <w:shd w:val="clear" w:color="auto" w:fill="FFFFFF" w:themeFill="background1"/>
            <w:vAlign w:val="center"/>
          </w:tcPr>
          <w:p w14:paraId="786B821B">
            <w:pPr>
              <w:snapToGrid w:val="0"/>
              <w:jc w:val="center"/>
              <w:rPr>
                <w:rFonts w:hint="eastAsia" w:ascii="宋体" w:hAnsi="宋体" w:eastAsia="宋体" w:cs="宋体"/>
                <w:sz w:val="18"/>
                <w:szCs w:val="18"/>
              </w:rPr>
            </w:pPr>
            <w:r>
              <w:rPr>
                <w:rFonts w:hint="eastAsia" w:ascii="宋体" w:hAnsi="宋体" w:eastAsia="宋体" w:cs="宋体"/>
                <w:sz w:val="18"/>
                <w:szCs w:val="18"/>
              </w:rPr>
              <w:t>-35号</w:t>
            </w:r>
          </w:p>
        </w:tc>
        <w:tc>
          <w:tcPr>
            <w:tcW w:w="1453" w:type="dxa"/>
            <w:vMerge w:val="continue"/>
            <w:tcBorders>
              <w:top w:val="single" w:color="000000" w:sz="12" w:space="0"/>
              <w:left w:val="single" w:color="000000" w:sz="4" w:space="0"/>
              <w:bottom w:val="single" w:color="000000" w:sz="12" w:space="0"/>
            </w:tcBorders>
            <w:shd w:val="clear" w:color="auto" w:fill="FFFFFF" w:themeFill="background1"/>
            <w:vAlign w:val="center"/>
          </w:tcPr>
          <w:p w14:paraId="4F6B3AEC">
            <w:pPr>
              <w:snapToGrid w:val="0"/>
              <w:jc w:val="center"/>
              <w:rPr>
                <w:rFonts w:hint="eastAsia" w:ascii="宋体" w:hAnsi="宋体" w:eastAsia="宋体" w:cs="宋体"/>
                <w:sz w:val="18"/>
                <w:szCs w:val="18"/>
              </w:rPr>
            </w:pPr>
          </w:p>
        </w:tc>
      </w:tr>
      <w:tr w14:paraId="686BE479">
        <w:tblPrEx>
          <w:tblBorders>
            <w:top w:val="single" w:color="000000" w:sz="12" w:space="0"/>
            <w:left w:val="single" w:color="000000" w:sz="12" w:space="0"/>
            <w:bottom w:val="single" w:color="000000" w:sz="12" w:space="0"/>
            <w:right w:val="single" w:color="000000" w:sz="12" w:space="0"/>
            <w:insideH w:val="single" w:color="auto" w:sz="4" w:space="0"/>
            <w:insideV w:val="none" w:color="auto" w:sz="0" w:space="0"/>
          </w:tblBorders>
          <w:tblCellMar>
            <w:top w:w="0" w:type="dxa"/>
            <w:left w:w="108" w:type="dxa"/>
            <w:bottom w:w="0" w:type="dxa"/>
            <w:right w:w="108" w:type="dxa"/>
          </w:tblCellMar>
        </w:tblPrEx>
        <w:trPr>
          <w:trHeight w:val="0" w:hRule="atLeast"/>
          <w:jc w:val="center"/>
        </w:trPr>
        <w:tc>
          <w:tcPr>
            <w:tcW w:w="4902" w:type="dxa"/>
            <w:tcBorders>
              <w:top w:val="single" w:color="000000" w:sz="12" w:space="0"/>
              <w:tl2br w:val="nil"/>
              <w:tr2bl w:val="nil"/>
            </w:tcBorders>
            <w:shd w:val="clear" w:color="auto" w:fill="FFFFFF" w:themeFill="background1"/>
            <w:vAlign w:val="center"/>
          </w:tcPr>
          <w:p w14:paraId="6E496448">
            <w:pPr>
              <w:snapToGrid w:val="0"/>
              <w:rPr>
                <w:rFonts w:hint="eastAsia" w:ascii="宋体" w:hAnsi="宋体" w:eastAsia="宋体" w:cs="宋体"/>
                <w:sz w:val="18"/>
                <w:szCs w:val="18"/>
              </w:rPr>
            </w:pPr>
            <w:r>
              <w:rPr>
                <w:rFonts w:hint="eastAsia" w:ascii="宋体" w:hAnsi="宋体" w:eastAsia="宋体" w:cs="宋体"/>
                <w:sz w:val="18"/>
                <w:szCs w:val="18"/>
              </w:rPr>
              <w:t>储存稳定性（以总不溶物计）/（mg/100 mL）</w:t>
            </w:r>
          </w:p>
        </w:tc>
        <w:tc>
          <w:tcPr>
            <w:tcW w:w="893" w:type="dxa"/>
            <w:tcBorders>
              <w:top w:val="single" w:color="000000" w:sz="12" w:space="0"/>
              <w:right w:val="single" w:color="000000" w:sz="4" w:space="0"/>
              <w:tl2br w:val="nil"/>
              <w:tr2bl w:val="nil"/>
            </w:tcBorders>
            <w:shd w:val="clear" w:color="auto" w:fill="FFFFFF" w:themeFill="background1"/>
            <w:vAlign w:val="center"/>
          </w:tcPr>
          <w:p w14:paraId="1098FD8B">
            <w:pPr>
              <w:snapToGrid w:val="0"/>
              <w:jc w:val="right"/>
              <w:rPr>
                <w:rFonts w:hint="eastAsia" w:ascii="宋体" w:hAnsi="宋体" w:eastAsia="宋体" w:cs="宋体"/>
                <w:bCs/>
                <w:sz w:val="18"/>
                <w:szCs w:val="18"/>
              </w:rPr>
            </w:pPr>
            <w:r>
              <w:rPr>
                <w:rFonts w:hint="eastAsia" w:ascii="宋体" w:hAnsi="宋体" w:eastAsia="宋体" w:cs="宋体"/>
                <w:bCs/>
                <w:sz w:val="18"/>
                <w:szCs w:val="18"/>
              </w:rPr>
              <w:t>不大于</w:t>
            </w:r>
          </w:p>
        </w:tc>
        <w:tc>
          <w:tcPr>
            <w:tcW w:w="2322" w:type="dxa"/>
            <w:gridSpan w:val="2"/>
            <w:tcBorders>
              <w:top w:val="single" w:color="000000" w:sz="12" w:space="0"/>
              <w:left w:val="single" w:color="000000" w:sz="4" w:space="0"/>
              <w:bottom w:val="single" w:color="000000" w:sz="4" w:space="0"/>
              <w:right w:val="single" w:color="000000" w:sz="4" w:space="0"/>
            </w:tcBorders>
            <w:shd w:val="clear" w:color="auto" w:fill="FFFFFF" w:themeFill="background1"/>
            <w:vAlign w:val="center"/>
          </w:tcPr>
          <w:p w14:paraId="584379D0">
            <w:pPr>
              <w:snapToGrid w:val="0"/>
              <w:jc w:val="center"/>
              <w:rPr>
                <w:rFonts w:hint="eastAsia" w:ascii="宋体" w:hAnsi="宋体" w:eastAsia="宋体" w:cs="宋体"/>
                <w:sz w:val="18"/>
                <w:szCs w:val="18"/>
              </w:rPr>
            </w:pPr>
            <w:r>
              <w:rPr>
                <w:rFonts w:hint="eastAsia" w:ascii="宋体" w:hAnsi="宋体" w:eastAsia="宋体" w:cs="宋体"/>
                <w:sz w:val="18"/>
                <w:szCs w:val="18"/>
              </w:rPr>
              <w:t>2.5</w:t>
            </w:r>
          </w:p>
        </w:tc>
        <w:tc>
          <w:tcPr>
            <w:tcW w:w="1453" w:type="dxa"/>
            <w:tcBorders>
              <w:top w:val="single" w:color="000000" w:sz="12" w:space="0"/>
              <w:left w:val="single" w:color="000000" w:sz="4" w:space="0"/>
            </w:tcBorders>
            <w:shd w:val="clear" w:color="auto" w:fill="FFFFFF" w:themeFill="background1"/>
            <w:vAlign w:val="center"/>
          </w:tcPr>
          <w:p w14:paraId="2FA502DF">
            <w:pPr>
              <w:snapToGrid w:val="0"/>
              <w:jc w:val="center"/>
              <w:rPr>
                <w:rFonts w:hint="eastAsia" w:ascii="宋体" w:hAnsi="宋体" w:eastAsia="宋体" w:cs="宋体"/>
                <w:sz w:val="18"/>
                <w:szCs w:val="18"/>
              </w:rPr>
            </w:pPr>
            <w:r>
              <w:rPr>
                <w:rFonts w:hint="eastAsia" w:ascii="宋体" w:hAnsi="宋体" w:eastAsia="宋体" w:cs="宋体"/>
                <w:sz w:val="18"/>
                <w:szCs w:val="18"/>
              </w:rPr>
              <w:t>ASTM D5304</w:t>
            </w:r>
          </w:p>
        </w:tc>
      </w:tr>
      <w:tr w14:paraId="5E0EFDD5">
        <w:tblPrEx>
          <w:tblBorders>
            <w:top w:val="single" w:color="000000" w:sz="12" w:space="0"/>
            <w:left w:val="single" w:color="000000" w:sz="12" w:space="0"/>
            <w:bottom w:val="single" w:color="000000" w:sz="12" w:space="0"/>
            <w:right w:val="single" w:color="000000" w:sz="12" w:space="0"/>
            <w:insideH w:val="single" w:color="auto" w:sz="4" w:space="0"/>
            <w:insideV w:val="none" w:color="auto" w:sz="0" w:space="0"/>
          </w:tblBorders>
          <w:tblCellMar>
            <w:top w:w="0" w:type="dxa"/>
            <w:left w:w="108" w:type="dxa"/>
            <w:bottom w:w="0" w:type="dxa"/>
            <w:right w:w="108" w:type="dxa"/>
          </w:tblCellMar>
        </w:tblPrEx>
        <w:trPr>
          <w:trHeight w:val="0" w:hRule="atLeast"/>
          <w:jc w:val="center"/>
        </w:trPr>
        <w:tc>
          <w:tcPr>
            <w:tcW w:w="4902" w:type="dxa"/>
            <w:tcBorders>
              <w:tl2br w:val="nil"/>
              <w:tr2bl w:val="nil"/>
            </w:tcBorders>
            <w:shd w:val="clear" w:color="auto" w:fill="FFFFFF" w:themeFill="background1"/>
            <w:vAlign w:val="center"/>
          </w:tcPr>
          <w:p w14:paraId="0E28F065">
            <w:pPr>
              <w:snapToGrid w:val="0"/>
              <w:rPr>
                <w:rFonts w:hint="eastAsia" w:ascii="宋体" w:hAnsi="宋体" w:eastAsia="宋体" w:cs="宋体"/>
                <w:sz w:val="18"/>
                <w:szCs w:val="18"/>
              </w:rPr>
            </w:pPr>
            <w:r>
              <w:rPr>
                <w:rFonts w:hint="eastAsia" w:ascii="宋体" w:hAnsi="宋体" w:eastAsia="宋体" w:cs="宋体"/>
                <w:sz w:val="18"/>
                <w:szCs w:val="18"/>
              </w:rPr>
              <w:t>氧化安定性（以总不溶物计）/（mg/100 mL）</w:t>
            </w:r>
          </w:p>
        </w:tc>
        <w:tc>
          <w:tcPr>
            <w:tcW w:w="893" w:type="dxa"/>
            <w:tcBorders>
              <w:right w:val="single" w:color="000000" w:sz="4" w:space="0"/>
              <w:tl2br w:val="nil"/>
              <w:tr2bl w:val="nil"/>
            </w:tcBorders>
            <w:shd w:val="clear" w:color="auto" w:fill="FFFFFF" w:themeFill="background1"/>
            <w:vAlign w:val="center"/>
          </w:tcPr>
          <w:p w14:paraId="539AFE86">
            <w:pPr>
              <w:snapToGrid w:val="0"/>
              <w:jc w:val="right"/>
              <w:rPr>
                <w:rFonts w:hint="eastAsia" w:ascii="宋体" w:hAnsi="宋体" w:eastAsia="宋体" w:cs="宋体"/>
                <w:bCs/>
                <w:sz w:val="18"/>
                <w:szCs w:val="18"/>
              </w:rPr>
            </w:pPr>
            <w:r>
              <w:rPr>
                <w:rFonts w:hint="eastAsia" w:ascii="宋体" w:hAnsi="宋体" w:eastAsia="宋体" w:cs="宋体"/>
                <w:bCs/>
                <w:sz w:val="18"/>
                <w:szCs w:val="18"/>
              </w:rPr>
              <w:t>不大于</w:t>
            </w:r>
          </w:p>
        </w:tc>
        <w:tc>
          <w:tcPr>
            <w:tcW w:w="2322"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C233E7B">
            <w:pPr>
              <w:snapToGrid w:val="0"/>
              <w:jc w:val="center"/>
              <w:rPr>
                <w:rFonts w:hint="eastAsia" w:ascii="宋体" w:hAnsi="宋体" w:eastAsia="宋体" w:cs="宋体"/>
                <w:sz w:val="18"/>
                <w:szCs w:val="18"/>
              </w:rPr>
            </w:pPr>
            <w:r>
              <w:rPr>
                <w:rFonts w:hint="eastAsia" w:ascii="宋体" w:hAnsi="宋体" w:eastAsia="宋体" w:cs="宋体"/>
                <w:sz w:val="18"/>
                <w:szCs w:val="18"/>
              </w:rPr>
              <w:t>1.5</w:t>
            </w:r>
          </w:p>
        </w:tc>
        <w:tc>
          <w:tcPr>
            <w:tcW w:w="1453" w:type="dxa"/>
            <w:tcBorders>
              <w:left w:val="single" w:color="000000" w:sz="4" w:space="0"/>
              <w:tl2br w:val="nil"/>
              <w:tr2bl w:val="nil"/>
            </w:tcBorders>
            <w:shd w:val="clear" w:color="auto" w:fill="FFFFFF" w:themeFill="background1"/>
            <w:vAlign w:val="center"/>
          </w:tcPr>
          <w:p w14:paraId="6F20F2C9">
            <w:pPr>
              <w:snapToGrid w:val="0"/>
              <w:jc w:val="center"/>
              <w:rPr>
                <w:rFonts w:hint="eastAsia" w:ascii="宋体" w:hAnsi="宋体" w:eastAsia="宋体" w:cs="宋体"/>
                <w:sz w:val="18"/>
                <w:szCs w:val="18"/>
              </w:rPr>
            </w:pPr>
            <w:r>
              <w:rPr>
                <w:rFonts w:hint="eastAsia" w:ascii="宋体" w:hAnsi="宋体" w:eastAsia="宋体" w:cs="宋体"/>
                <w:sz w:val="18"/>
                <w:szCs w:val="18"/>
              </w:rPr>
              <w:t>SH/T 0175</w:t>
            </w:r>
          </w:p>
        </w:tc>
      </w:tr>
      <w:tr w14:paraId="45DC5F89">
        <w:tblPrEx>
          <w:tblBorders>
            <w:top w:val="single" w:color="000000" w:sz="12" w:space="0"/>
            <w:left w:val="single" w:color="000000" w:sz="12" w:space="0"/>
            <w:bottom w:val="single" w:color="000000" w:sz="12" w:space="0"/>
            <w:right w:val="single" w:color="000000" w:sz="12" w:space="0"/>
            <w:insideH w:val="single" w:color="auto" w:sz="4" w:space="0"/>
            <w:insideV w:val="none" w:color="auto" w:sz="0" w:space="0"/>
          </w:tblBorders>
          <w:tblCellMar>
            <w:top w:w="0" w:type="dxa"/>
            <w:left w:w="108" w:type="dxa"/>
            <w:bottom w:w="0" w:type="dxa"/>
            <w:right w:w="108" w:type="dxa"/>
          </w:tblCellMar>
        </w:tblPrEx>
        <w:trPr>
          <w:trHeight w:val="0" w:hRule="atLeast"/>
          <w:jc w:val="center"/>
        </w:trPr>
        <w:tc>
          <w:tcPr>
            <w:tcW w:w="4902" w:type="dxa"/>
            <w:tcBorders>
              <w:tl2br w:val="nil"/>
              <w:tr2bl w:val="nil"/>
            </w:tcBorders>
            <w:shd w:val="clear" w:color="auto" w:fill="FFFFFF" w:themeFill="background1"/>
            <w:vAlign w:val="center"/>
          </w:tcPr>
          <w:p w14:paraId="002CB51E">
            <w:pPr>
              <w:snapToGrid w:val="0"/>
              <w:rPr>
                <w:rFonts w:hint="eastAsia" w:ascii="宋体" w:hAnsi="宋体" w:eastAsia="宋体" w:cs="宋体"/>
                <w:sz w:val="18"/>
                <w:szCs w:val="18"/>
              </w:rPr>
            </w:pPr>
            <w:r>
              <w:rPr>
                <w:rFonts w:hint="eastAsia" w:ascii="宋体" w:hAnsi="宋体" w:eastAsia="宋体" w:cs="宋体"/>
                <w:sz w:val="18"/>
                <w:szCs w:val="18"/>
              </w:rPr>
              <w:t>硫含量</w:t>
            </w:r>
            <w:r>
              <w:rPr>
                <w:rFonts w:hint="eastAsia" w:ascii="宋体" w:hAnsi="宋体" w:eastAsia="宋体" w:cs="宋体"/>
                <w:sz w:val="18"/>
                <w:szCs w:val="18"/>
                <w:vertAlign w:val="superscript"/>
              </w:rPr>
              <w:t>a</w:t>
            </w:r>
            <w:r>
              <w:rPr>
                <w:rFonts w:hint="eastAsia" w:ascii="宋体" w:hAnsi="宋体" w:eastAsia="宋体" w:cs="宋体"/>
                <w:sz w:val="18"/>
                <w:szCs w:val="18"/>
              </w:rPr>
              <w:t>/（mg/kg）</w:t>
            </w:r>
          </w:p>
        </w:tc>
        <w:tc>
          <w:tcPr>
            <w:tcW w:w="893" w:type="dxa"/>
            <w:tcBorders>
              <w:right w:val="single" w:color="000000" w:sz="4" w:space="0"/>
              <w:tl2br w:val="nil"/>
              <w:tr2bl w:val="nil"/>
            </w:tcBorders>
            <w:shd w:val="clear" w:color="auto" w:fill="FFFFFF" w:themeFill="background1"/>
            <w:vAlign w:val="center"/>
          </w:tcPr>
          <w:p w14:paraId="4E2CE01E">
            <w:pPr>
              <w:snapToGrid w:val="0"/>
              <w:jc w:val="right"/>
              <w:rPr>
                <w:rFonts w:hint="eastAsia" w:ascii="宋体" w:hAnsi="宋体" w:eastAsia="宋体" w:cs="宋体"/>
                <w:bCs/>
                <w:sz w:val="18"/>
                <w:szCs w:val="18"/>
              </w:rPr>
            </w:pPr>
            <w:r>
              <w:rPr>
                <w:rFonts w:hint="eastAsia" w:ascii="宋体" w:hAnsi="宋体" w:eastAsia="宋体" w:cs="宋体"/>
                <w:sz w:val="18"/>
                <w:szCs w:val="18"/>
              </w:rPr>
              <w:t>不大于</w:t>
            </w:r>
          </w:p>
        </w:tc>
        <w:tc>
          <w:tcPr>
            <w:tcW w:w="2322"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A9EBCC9">
            <w:pPr>
              <w:snapToGrid w:val="0"/>
              <w:jc w:val="center"/>
              <w:rPr>
                <w:rFonts w:hint="eastAsia" w:ascii="宋体" w:hAnsi="宋体" w:eastAsia="宋体" w:cs="宋体"/>
                <w:kern w:val="0"/>
                <w:sz w:val="18"/>
                <w:szCs w:val="18"/>
              </w:rPr>
            </w:pPr>
            <w:r>
              <w:rPr>
                <w:rFonts w:hint="eastAsia" w:ascii="宋体" w:hAnsi="宋体" w:eastAsia="宋体" w:cs="宋体"/>
                <w:sz w:val="18"/>
                <w:szCs w:val="18"/>
              </w:rPr>
              <w:t>10</w:t>
            </w:r>
          </w:p>
        </w:tc>
        <w:tc>
          <w:tcPr>
            <w:tcW w:w="1453" w:type="dxa"/>
            <w:tcBorders>
              <w:left w:val="single" w:color="000000" w:sz="4" w:space="0"/>
              <w:tl2br w:val="nil"/>
              <w:tr2bl w:val="nil"/>
            </w:tcBorders>
            <w:shd w:val="clear" w:color="auto" w:fill="FFFFFF" w:themeFill="background1"/>
            <w:vAlign w:val="center"/>
          </w:tcPr>
          <w:p w14:paraId="26BD43BD">
            <w:pPr>
              <w:snapToGrid w:val="0"/>
              <w:jc w:val="center"/>
              <w:rPr>
                <w:rFonts w:hint="eastAsia" w:ascii="宋体" w:hAnsi="宋体" w:eastAsia="宋体" w:cs="宋体"/>
                <w:sz w:val="18"/>
                <w:szCs w:val="18"/>
              </w:rPr>
            </w:pPr>
            <w:r>
              <w:rPr>
                <w:rFonts w:hint="eastAsia" w:ascii="宋体" w:hAnsi="宋体" w:eastAsia="宋体" w:cs="宋体"/>
                <w:kern w:val="0"/>
                <w:sz w:val="18"/>
                <w:szCs w:val="18"/>
              </w:rPr>
              <w:t>SH/T 0689</w:t>
            </w:r>
          </w:p>
        </w:tc>
      </w:tr>
      <w:tr w14:paraId="1C563F6A">
        <w:tblPrEx>
          <w:tblBorders>
            <w:top w:val="single" w:color="000000" w:sz="12" w:space="0"/>
            <w:left w:val="single" w:color="000000" w:sz="12" w:space="0"/>
            <w:bottom w:val="single" w:color="000000" w:sz="12" w:space="0"/>
            <w:right w:val="single" w:color="000000" w:sz="12" w:space="0"/>
            <w:insideH w:val="single" w:color="auto" w:sz="4" w:space="0"/>
            <w:insideV w:val="none" w:color="auto" w:sz="0" w:space="0"/>
          </w:tblBorders>
          <w:tblCellMar>
            <w:top w:w="0" w:type="dxa"/>
            <w:left w:w="108" w:type="dxa"/>
            <w:bottom w:w="0" w:type="dxa"/>
            <w:right w:w="108" w:type="dxa"/>
          </w:tblCellMar>
        </w:tblPrEx>
        <w:trPr>
          <w:trHeight w:val="0" w:hRule="atLeast"/>
          <w:jc w:val="center"/>
        </w:trPr>
        <w:tc>
          <w:tcPr>
            <w:tcW w:w="4902" w:type="dxa"/>
            <w:tcBorders>
              <w:tl2br w:val="nil"/>
              <w:tr2bl w:val="nil"/>
            </w:tcBorders>
            <w:shd w:val="clear" w:color="auto" w:fill="FFFFFF" w:themeFill="background1"/>
            <w:vAlign w:val="center"/>
          </w:tcPr>
          <w:p w14:paraId="467B40FA">
            <w:pPr>
              <w:snapToGrid w:val="0"/>
              <w:rPr>
                <w:rFonts w:hint="eastAsia" w:ascii="宋体" w:hAnsi="宋体" w:eastAsia="宋体" w:cs="宋体"/>
                <w:sz w:val="18"/>
                <w:szCs w:val="18"/>
              </w:rPr>
            </w:pPr>
            <w:r>
              <w:rPr>
                <w:rFonts w:hint="eastAsia" w:ascii="宋体" w:hAnsi="宋体" w:eastAsia="宋体" w:cs="宋体"/>
                <w:sz w:val="18"/>
                <w:szCs w:val="18"/>
              </w:rPr>
              <w:t>酸度（以KOH计）/（mg/100 mL）</w:t>
            </w:r>
          </w:p>
          <w:p w14:paraId="0BBC7944">
            <w:pPr>
              <w:snapToGrid w:val="0"/>
              <w:ind w:firstLine="2700" w:firstLineChars="1500"/>
              <w:rPr>
                <w:rFonts w:hint="eastAsia" w:ascii="宋体" w:hAnsi="宋体" w:eastAsia="宋体" w:cs="宋体"/>
                <w:sz w:val="18"/>
                <w:szCs w:val="18"/>
              </w:rPr>
            </w:pPr>
            <w:r>
              <w:rPr>
                <w:rFonts w:hint="eastAsia" w:ascii="宋体" w:hAnsi="宋体" w:eastAsia="宋体" w:cs="宋体"/>
                <w:sz w:val="18"/>
                <w:szCs w:val="18"/>
              </w:rPr>
              <w:t>老化前</w:t>
            </w:r>
          </w:p>
          <w:p w14:paraId="3249D540">
            <w:pPr>
              <w:snapToGrid w:val="0"/>
              <w:ind w:firstLine="2700" w:firstLineChars="1500"/>
              <w:rPr>
                <w:rFonts w:hint="eastAsia" w:ascii="宋体" w:hAnsi="宋体" w:eastAsia="宋体" w:cs="宋体"/>
                <w:sz w:val="18"/>
                <w:szCs w:val="18"/>
              </w:rPr>
            </w:pPr>
            <w:r>
              <w:rPr>
                <w:rFonts w:hint="eastAsia" w:ascii="宋体" w:hAnsi="宋体" w:eastAsia="宋体" w:cs="宋体"/>
                <w:sz w:val="18"/>
                <w:szCs w:val="18"/>
              </w:rPr>
              <w:t>老化后</w:t>
            </w:r>
            <w:r>
              <w:rPr>
                <w:rFonts w:hint="eastAsia" w:ascii="宋体" w:hAnsi="宋体" w:eastAsia="宋体" w:cs="宋体"/>
                <w:sz w:val="18"/>
                <w:szCs w:val="18"/>
                <w:vertAlign w:val="superscript"/>
              </w:rPr>
              <w:t>b</w:t>
            </w:r>
          </w:p>
        </w:tc>
        <w:tc>
          <w:tcPr>
            <w:tcW w:w="893" w:type="dxa"/>
            <w:tcBorders>
              <w:right w:val="single" w:color="000000" w:sz="4" w:space="0"/>
              <w:tl2br w:val="nil"/>
              <w:tr2bl w:val="nil"/>
            </w:tcBorders>
            <w:shd w:val="clear" w:color="auto" w:fill="FFFFFF" w:themeFill="background1"/>
            <w:vAlign w:val="center"/>
          </w:tcPr>
          <w:p w14:paraId="7AEE7DFE">
            <w:pPr>
              <w:snapToGrid w:val="0"/>
              <w:jc w:val="right"/>
              <w:rPr>
                <w:rFonts w:hint="eastAsia" w:ascii="宋体" w:hAnsi="宋体" w:eastAsia="宋体" w:cs="宋体"/>
                <w:bCs/>
                <w:sz w:val="18"/>
                <w:szCs w:val="18"/>
              </w:rPr>
            </w:pPr>
          </w:p>
          <w:p w14:paraId="1AB27FFE">
            <w:pPr>
              <w:snapToGrid w:val="0"/>
              <w:jc w:val="right"/>
              <w:rPr>
                <w:rFonts w:hint="eastAsia" w:ascii="宋体" w:hAnsi="宋体" w:eastAsia="宋体" w:cs="宋体"/>
                <w:bCs/>
                <w:sz w:val="18"/>
                <w:szCs w:val="18"/>
              </w:rPr>
            </w:pPr>
            <w:r>
              <w:rPr>
                <w:rFonts w:hint="eastAsia" w:ascii="宋体" w:hAnsi="宋体" w:eastAsia="宋体" w:cs="宋体"/>
                <w:bCs/>
                <w:sz w:val="18"/>
                <w:szCs w:val="18"/>
              </w:rPr>
              <w:t>不大于</w:t>
            </w:r>
          </w:p>
          <w:p w14:paraId="5586C0DB">
            <w:pPr>
              <w:snapToGrid w:val="0"/>
              <w:jc w:val="right"/>
              <w:rPr>
                <w:rFonts w:hint="eastAsia" w:ascii="宋体" w:hAnsi="宋体" w:eastAsia="宋体" w:cs="宋体"/>
                <w:bCs/>
                <w:sz w:val="18"/>
                <w:szCs w:val="18"/>
              </w:rPr>
            </w:pPr>
            <w:r>
              <w:rPr>
                <w:rFonts w:hint="eastAsia" w:ascii="宋体" w:hAnsi="宋体" w:eastAsia="宋体" w:cs="宋体"/>
                <w:bCs/>
                <w:sz w:val="18"/>
                <w:szCs w:val="18"/>
              </w:rPr>
              <w:t>不大于</w:t>
            </w:r>
          </w:p>
        </w:tc>
        <w:tc>
          <w:tcPr>
            <w:tcW w:w="2322"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577FBCC">
            <w:pPr>
              <w:snapToGrid w:val="0"/>
              <w:jc w:val="center"/>
              <w:rPr>
                <w:rFonts w:hint="eastAsia" w:ascii="宋体" w:hAnsi="宋体" w:eastAsia="宋体" w:cs="宋体"/>
                <w:sz w:val="18"/>
                <w:szCs w:val="18"/>
              </w:rPr>
            </w:pPr>
          </w:p>
          <w:p w14:paraId="074F5B40">
            <w:pPr>
              <w:snapToGrid w:val="0"/>
              <w:jc w:val="center"/>
              <w:rPr>
                <w:rFonts w:hint="eastAsia" w:ascii="宋体" w:hAnsi="宋体" w:eastAsia="宋体" w:cs="宋体"/>
                <w:sz w:val="18"/>
                <w:szCs w:val="18"/>
              </w:rPr>
            </w:pPr>
            <w:r>
              <w:rPr>
                <w:rFonts w:hint="eastAsia" w:ascii="宋体" w:hAnsi="宋体" w:eastAsia="宋体" w:cs="宋体"/>
                <w:sz w:val="18"/>
                <w:szCs w:val="18"/>
              </w:rPr>
              <w:t>5</w:t>
            </w:r>
          </w:p>
          <w:p w14:paraId="2DA16BC6">
            <w:pPr>
              <w:snapToGrid w:val="0"/>
              <w:jc w:val="center"/>
              <w:rPr>
                <w:rFonts w:hint="eastAsia" w:ascii="宋体" w:hAnsi="宋体" w:eastAsia="宋体" w:cs="宋体"/>
                <w:sz w:val="18"/>
                <w:szCs w:val="18"/>
              </w:rPr>
            </w:pPr>
            <w:r>
              <w:rPr>
                <w:rFonts w:hint="eastAsia" w:ascii="宋体" w:hAnsi="宋体" w:eastAsia="宋体" w:cs="宋体"/>
                <w:sz w:val="18"/>
                <w:szCs w:val="18"/>
              </w:rPr>
              <w:t>7</w:t>
            </w:r>
          </w:p>
        </w:tc>
        <w:tc>
          <w:tcPr>
            <w:tcW w:w="1453" w:type="dxa"/>
            <w:tcBorders>
              <w:left w:val="single" w:color="000000" w:sz="4" w:space="0"/>
              <w:tl2br w:val="nil"/>
              <w:tr2bl w:val="nil"/>
            </w:tcBorders>
            <w:shd w:val="clear" w:color="auto" w:fill="FFFFFF" w:themeFill="background1"/>
            <w:vAlign w:val="center"/>
          </w:tcPr>
          <w:p w14:paraId="24B05915">
            <w:pPr>
              <w:snapToGrid w:val="0"/>
              <w:jc w:val="center"/>
              <w:rPr>
                <w:rFonts w:hint="eastAsia" w:ascii="宋体" w:hAnsi="宋体" w:eastAsia="宋体" w:cs="宋体"/>
                <w:sz w:val="18"/>
                <w:szCs w:val="18"/>
              </w:rPr>
            </w:pPr>
            <w:r>
              <w:rPr>
                <w:rFonts w:hint="eastAsia" w:ascii="宋体" w:hAnsi="宋体" w:eastAsia="宋体" w:cs="宋体"/>
                <w:sz w:val="18"/>
                <w:szCs w:val="18"/>
              </w:rPr>
              <w:t>GB/T 258</w:t>
            </w:r>
          </w:p>
        </w:tc>
      </w:tr>
      <w:tr w14:paraId="68A0D763">
        <w:tblPrEx>
          <w:tblBorders>
            <w:top w:val="single" w:color="000000" w:sz="12" w:space="0"/>
            <w:left w:val="single" w:color="000000" w:sz="12" w:space="0"/>
            <w:bottom w:val="single" w:color="000000" w:sz="12" w:space="0"/>
            <w:right w:val="single" w:color="000000" w:sz="12" w:space="0"/>
            <w:insideH w:val="single" w:color="auto" w:sz="4" w:space="0"/>
            <w:insideV w:val="none" w:color="auto" w:sz="0" w:space="0"/>
          </w:tblBorders>
          <w:tblCellMar>
            <w:top w:w="0" w:type="dxa"/>
            <w:left w:w="108" w:type="dxa"/>
            <w:bottom w:w="0" w:type="dxa"/>
            <w:right w:w="108" w:type="dxa"/>
          </w:tblCellMar>
        </w:tblPrEx>
        <w:trPr>
          <w:trHeight w:val="0" w:hRule="atLeast"/>
          <w:jc w:val="center"/>
        </w:trPr>
        <w:tc>
          <w:tcPr>
            <w:tcW w:w="4902" w:type="dxa"/>
            <w:tcBorders>
              <w:tl2br w:val="nil"/>
              <w:tr2bl w:val="nil"/>
            </w:tcBorders>
            <w:shd w:val="clear" w:color="auto" w:fill="FFFFFF" w:themeFill="background1"/>
            <w:vAlign w:val="center"/>
          </w:tcPr>
          <w:p w14:paraId="33CB959B">
            <w:pPr>
              <w:snapToGrid w:val="0"/>
              <w:rPr>
                <w:rFonts w:hint="eastAsia" w:ascii="宋体" w:hAnsi="宋体" w:eastAsia="宋体" w:cs="宋体"/>
                <w:sz w:val="18"/>
                <w:szCs w:val="18"/>
              </w:rPr>
            </w:pPr>
            <w:r>
              <w:rPr>
                <w:rFonts w:hint="eastAsia" w:ascii="宋体" w:hAnsi="宋体" w:eastAsia="宋体" w:cs="宋体"/>
                <w:bCs/>
                <w:sz w:val="18"/>
                <w:szCs w:val="18"/>
              </w:rPr>
              <w:t>10 % 蒸余物残炭</w:t>
            </w:r>
            <w:r>
              <w:rPr>
                <w:rFonts w:hint="eastAsia" w:ascii="宋体" w:hAnsi="宋体" w:eastAsia="宋体" w:cs="宋体"/>
                <w:bCs/>
                <w:sz w:val="18"/>
                <w:szCs w:val="18"/>
                <w:vertAlign w:val="superscript"/>
              </w:rPr>
              <w:t>c</w:t>
            </w:r>
            <w:r>
              <w:rPr>
                <w:rFonts w:hint="eastAsia" w:ascii="宋体" w:hAnsi="宋体" w:eastAsia="宋体" w:cs="宋体"/>
                <w:bCs/>
                <w:sz w:val="18"/>
                <w:szCs w:val="18"/>
              </w:rPr>
              <w:t>（质量分数）/%</w:t>
            </w:r>
          </w:p>
        </w:tc>
        <w:tc>
          <w:tcPr>
            <w:tcW w:w="893" w:type="dxa"/>
            <w:tcBorders>
              <w:right w:val="single" w:color="000000" w:sz="4" w:space="0"/>
              <w:tl2br w:val="nil"/>
              <w:tr2bl w:val="nil"/>
            </w:tcBorders>
            <w:shd w:val="clear" w:color="auto" w:fill="FFFFFF" w:themeFill="background1"/>
            <w:vAlign w:val="center"/>
          </w:tcPr>
          <w:p w14:paraId="24373BD1">
            <w:pPr>
              <w:snapToGrid w:val="0"/>
              <w:jc w:val="right"/>
              <w:rPr>
                <w:rFonts w:hint="eastAsia" w:ascii="宋体" w:hAnsi="宋体" w:eastAsia="宋体" w:cs="宋体"/>
                <w:bCs/>
                <w:sz w:val="18"/>
                <w:szCs w:val="18"/>
              </w:rPr>
            </w:pPr>
            <w:r>
              <w:rPr>
                <w:rFonts w:hint="eastAsia" w:ascii="宋体" w:hAnsi="宋体" w:eastAsia="宋体" w:cs="宋体"/>
                <w:bCs/>
                <w:sz w:val="18"/>
                <w:szCs w:val="18"/>
              </w:rPr>
              <w:t>不大于</w:t>
            </w:r>
          </w:p>
        </w:tc>
        <w:tc>
          <w:tcPr>
            <w:tcW w:w="2322"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5FE98F7">
            <w:pPr>
              <w:snapToGrid w:val="0"/>
              <w:jc w:val="center"/>
              <w:rPr>
                <w:rFonts w:hint="eastAsia" w:ascii="宋体" w:hAnsi="宋体" w:eastAsia="宋体" w:cs="宋体"/>
                <w:sz w:val="18"/>
                <w:szCs w:val="18"/>
              </w:rPr>
            </w:pPr>
            <w:r>
              <w:rPr>
                <w:rFonts w:hint="eastAsia" w:ascii="宋体" w:hAnsi="宋体" w:eastAsia="宋体" w:cs="宋体"/>
                <w:sz w:val="18"/>
                <w:szCs w:val="18"/>
              </w:rPr>
              <w:t>0.3</w:t>
            </w:r>
          </w:p>
        </w:tc>
        <w:tc>
          <w:tcPr>
            <w:tcW w:w="1453" w:type="dxa"/>
            <w:tcBorders>
              <w:left w:val="single" w:color="000000" w:sz="4" w:space="0"/>
              <w:tl2br w:val="nil"/>
              <w:tr2bl w:val="nil"/>
            </w:tcBorders>
            <w:shd w:val="clear" w:color="auto" w:fill="FFFFFF" w:themeFill="background1"/>
            <w:vAlign w:val="center"/>
          </w:tcPr>
          <w:p w14:paraId="433F25FB">
            <w:pPr>
              <w:snapToGrid w:val="0"/>
              <w:jc w:val="center"/>
              <w:rPr>
                <w:rFonts w:hint="eastAsia" w:ascii="宋体" w:hAnsi="宋体" w:eastAsia="宋体" w:cs="宋体"/>
                <w:sz w:val="18"/>
                <w:szCs w:val="18"/>
              </w:rPr>
            </w:pPr>
            <w:r>
              <w:rPr>
                <w:rFonts w:hint="eastAsia" w:ascii="宋体" w:hAnsi="宋体" w:eastAsia="宋体" w:cs="宋体"/>
                <w:sz w:val="18"/>
                <w:szCs w:val="18"/>
              </w:rPr>
              <w:t>GB/T 17144</w:t>
            </w:r>
          </w:p>
        </w:tc>
      </w:tr>
      <w:tr w14:paraId="44638F38">
        <w:tblPrEx>
          <w:tblBorders>
            <w:top w:val="single" w:color="000000" w:sz="12" w:space="0"/>
            <w:left w:val="single" w:color="000000" w:sz="12" w:space="0"/>
            <w:bottom w:val="single" w:color="000000" w:sz="12" w:space="0"/>
            <w:right w:val="single" w:color="000000" w:sz="12" w:space="0"/>
            <w:insideH w:val="single" w:color="auto" w:sz="4" w:space="0"/>
            <w:insideV w:val="none" w:color="auto" w:sz="0" w:space="0"/>
          </w:tblBorders>
          <w:tblCellMar>
            <w:top w:w="0" w:type="dxa"/>
            <w:left w:w="108" w:type="dxa"/>
            <w:bottom w:w="0" w:type="dxa"/>
            <w:right w:w="108" w:type="dxa"/>
          </w:tblCellMar>
        </w:tblPrEx>
        <w:trPr>
          <w:trHeight w:val="0" w:hRule="atLeast"/>
          <w:jc w:val="center"/>
        </w:trPr>
        <w:tc>
          <w:tcPr>
            <w:tcW w:w="4902" w:type="dxa"/>
            <w:tcBorders>
              <w:tl2br w:val="nil"/>
              <w:tr2bl w:val="nil"/>
            </w:tcBorders>
            <w:shd w:val="clear" w:color="auto" w:fill="FFFFFF" w:themeFill="background1"/>
            <w:vAlign w:val="center"/>
          </w:tcPr>
          <w:p w14:paraId="7D73DC8F">
            <w:pPr>
              <w:snapToGrid w:val="0"/>
              <w:rPr>
                <w:rFonts w:hint="eastAsia" w:ascii="宋体" w:hAnsi="宋体" w:eastAsia="宋体" w:cs="宋体"/>
                <w:sz w:val="18"/>
                <w:szCs w:val="18"/>
              </w:rPr>
            </w:pPr>
            <w:r>
              <w:rPr>
                <w:rFonts w:hint="eastAsia" w:ascii="宋体" w:hAnsi="宋体" w:eastAsia="宋体" w:cs="宋体"/>
                <w:bCs/>
                <w:sz w:val="18"/>
                <w:szCs w:val="18"/>
              </w:rPr>
              <w:t>灰分（质量分数）/%</w:t>
            </w:r>
          </w:p>
        </w:tc>
        <w:tc>
          <w:tcPr>
            <w:tcW w:w="893" w:type="dxa"/>
            <w:tcBorders>
              <w:right w:val="single" w:color="000000" w:sz="4" w:space="0"/>
              <w:tl2br w:val="nil"/>
              <w:tr2bl w:val="nil"/>
            </w:tcBorders>
            <w:shd w:val="clear" w:color="auto" w:fill="FFFFFF" w:themeFill="background1"/>
            <w:vAlign w:val="center"/>
          </w:tcPr>
          <w:p w14:paraId="60E153DB">
            <w:pPr>
              <w:snapToGrid w:val="0"/>
              <w:jc w:val="right"/>
              <w:rPr>
                <w:rFonts w:hint="eastAsia" w:ascii="宋体" w:hAnsi="宋体" w:eastAsia="宋体" w:cs="宋体"/>
                <w:bCs/>
                <w:sz w:val="18"/>
                <w:szCs w:val="18"/>
              </w:rPr>
            </w:pPr>
            <w:r>
              <w:rPr>
                <w:rFonts w:hint="eastAsia" w:ascii="宋体" w:hAnsi="宋体" w:eastAsia="宋体" w:cs="宋体"/>
                <w:bCs/>
                <w:sz w:val="18"/>
                <w:szCs w:val="18"/>
              </w:rPr>
              <w:t>不大于</w:t>
            </w:r>
          </w:p>
        </w:tc>
        <w:tc>
          <w:tcPr>
            <w:tcW w:w="2322"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F5AE6C7">
            <w:pPr>
              <w:snapToGrid w:val="0"/>
              <w:jc w:val="center"/>
              <w:rPr>
                <w:rFonts w:hint="eastAsia" w:ascii="宋体" w:hAnsi="宋体" w:eastAsia="宋体" w:cs="宋体"/>
                <w:sz w:val="18"/>
                <w:szCs w:val="18"/>
              </w:rPr>
            </w:pPr>
            <w:r>
              <w:rPr>
                <w:rFonts w:hint="eastAsia" w:ascii="宋体" w:hAnsi="宋体" w:eastAsia="宋体" w:cs="宋体"/>
                <w:sz w:val="18"/>
                <w:szCs w:val="18"/>
              </w:rPr>
              <w:t>0.01</w:t>
            </w:r>
          </w:p>
        </w:tc>
        <w:tc>
          <w:tcPr>
            <w:tcW w:w="1453" w:type="dxa"/>
            <w:tcBorders>
              <w:left w:val="single" w:color="000000" w:sz="4" w:space="0"/>
              <w:tl2br w:val="nil"/>
              <w:tr2bl w:val="nil"/>
            </w:tcBorders>
            <w:shd w:val="clear" w:color="auto" w:fill="FFFFFF" w:themeFill="background1"/>
            <w:vAlign w:val="center"/>
          </w:tcPr>
          <w:p w14:paraId="1D54418D">
            <w:pPr>
              <w:snapToGrid w:val="0"/>
              <w:jc w:val="center"/>
              <w:rPr>
                <w:rFonts w:hint="eastAsia" w:ascii="宋体" w:hAnsi="宋体" w:eastAsia="宋体" w:cs="宋体"/>
                <w:sz w:val="18"/>
                <w:szCs w:val="18"/>
              </w:rPr>
            </w:pPr>
            <w:r>
              <w:rPr>
                <w:rFonts w:hint="eastAsia" w:ascii="宋体" w:hAnsi="宋体" w:eastAsia="宋体" w:cs="宋体"/>
                <w:sz w:val="18"/>
                <w:szCs w:val="18"/>
              </w:rPr>
              <w:t>GB/T 508</w:t>
            </w:r>
          </w:p>
        </w:tc>
      </w:tr>
      <w:tr w14:paraId="5CF8A4DB">
        <w:tblPrEx>
          <w:tblBorders>
            <w:top w:val="single" w:color="000000" w:sz="12" w:space="0"/>
            <w:left w:val="single" w:color="000000" w:sz="12" w:space="0"/>
            <w:bottom w:val="single" w:color="000000" w:sz="12" w:space="0"/>
            <w:right w:val="single" w:color="000000" w:sz="12" w:space="0"/>
            <w:insideH w:val="single" w:color="auto" w:sz="4" w:space="0"/>
            <w:insideV w:val="none" w:color="auto" w:sz="0" w:space="0"/>
          </w:tblBorders>
          <w:tblCellMar>
            <w:top w:w="0" w:type="dxa"/>
            <w:left w:w="108" w:type="dxa"/>
            <w:bottom w:w="0" w:type="dxa"/>
            <w:right w:w="108" w:type="dxa"/>
          </w:tblCellMar>
        </w:tblPrEx>
        <w:trPr>
          <w:trHeight w:val="0" w:hRule="atLeast"/>
          <w:jc w:val="center"/>
        </w:trPr>
        <w:tc>
          <w:tcPr>
            <w:tcW w:w="4902" w:type="dxa"/>
            <w:tcBorders>
              <w:tl2br w:val="nil"/>
              <w:tr2bl w:val="nil"/>
            </w:tcBorders>
            <w:shd w:val="clear" w:color="auto" w:fill="FFFFFF" w:themeFill="background1"/>
            <w:vAlign w:val="center"/>
          </w:tcPr>
          <w:p w14:paraId="3A7A3EBF">
            <w:pPr>
              <w:snapToGrid w:val="0"/>
              <w:rPr>
                <w:rFonts w:hint="eastAsia" w:ascii="宋体" w:hAnsi="宋体" w:eastAsia="宋体" w:cs="宋体"/>
                <w:sz w:val="18"/>
                <w:szCs w:val="18"/>
              </w:rPr>
            </w:pPr>
            <w:r>
              <w:rPr>
                <w:rFonts w:hint="eastAsia" w:ascii="宋体" w:hAnsi="宋体" w:eastAsia="宋体" w:cs="宋体"/>
                <w:sz w:val="18"/>
                <w:szCs w:val="18"/>
              </w:rPr>
              <w:t>铜片腐蚀（50 ℃，3 h）/级</w:t>
            </w:r>
          </w:p>
        </w:tc>
        <w:tc>
          <w:tcPr>
            <w:tcW w:w="893" w:type="dxa"/>
            <w:tcBorders>
              <w:right w:val="single" w:color="000000" w:sz="4" w:space="0"/>
              <w:tl2br w:val="nil"/>
              <w:tr2bl w:val="nil"/>
            </w:tcBorders>
            <w:shd w:val="clear" w:color="auto" w:fill="FFFFFF" w:themeFill="background1"/>
            <w:vAlign w:val="center"/>
          </w:tcPr>
          <w:p w14:paraId="7EC5F256">
            <w:pPr>
              <w:snapToGrid w:val="0"/>
              <w:jc w:val="right"/>
              <w:rPr>
                <w:rFonts w:hint="eastAsia" w:ascii="宋体" w:hAnsi="宋体" w:eastAsia="宋体" w:cs="宋体"/>
                <w:bCs/>
                <w:sz w:val="18"/>
                <w:szCs w:val="18"/>
              </w:rPr>
            </w:pPr>
            <w:r>
              <w:rPr>
                <w:rFonts w:hint="eastAsia" w:ascii="宋体" w:hAnsi="宋体" w:eastAsia="宋体" w:cs="宋体"/>
                <w:bCs/>
                <w:sz w:val="18"/>
                <w:szCs w:val="18"/>
              </w:rPr>
              <w:t>不大于</w:t>
            </w:r>
          </w:p>
        </w:tc>
        <w:tc>
          <w:tcPr>
            <w:tcW w:w="2322"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AEEBBFD">
            <w:pPr>
              <w:snapToGrid w:val="0"/>
              <w:jc w:val="center"/>
              <w:rPr>
                <w:rFonts w:hint="eastAsia" w:ascii="宋体" w:hAnsi="宋体" w:eastAsia="宋体" w:cs="宋体"/>
                <w:sz w:val="18"/>
                <w:szCs w:val="18"/>
              </w:rPr>
            </w:pPr>
            <w:r>
              <w:rPr>
                <w:rFonts w:hint="eastAsia" w:ascii="宋体" w:hAnsi="宋体" w:eastAsia="宋体" w:cs="宋体"/>
                <w:sz w:val="18"/>
                <w:szCs w:val="18"/>
              </w:rPr>
              <w:t>1</w:t>
            </w:r>
          </w:p>
        </w:tc>
        <w:tc>
          <w:tcPr>
            <w:tcW w:w="1453" w:type="dxa"/>
            <w:tcBorders>
              <w:left w:val="single" w:color="000000" w:sz="4" w:space="0"/>
              <w:tl2br w:val="nil"/>
              <w:tr2bl w:val="nil"/>
            </w:tcBorders>
            <w:shd w:val="clear" w:color="auto" w:fill="FFFFFF" w:themeFill="background1"/>
            <w:vAlign w:val="center"/>
          </w:tcPr>
          <w:p w14:paraId="03AE9E39">
            <w:pPr>
              <w:snapToGrid w:val="0"/>
              <w:jc w:val="center"/>
              <w:rPr>
                <w:rFonts w:hint="eastAsia" w:ascii="宋体" w:hAnsi="宋体" w:eastAsia="宋体" w:cs="宋体"/>
                <w:sz w:val="18"/>
                <w:szCs w:val="18"/>
              </w:rPr>
            </w:pPr>
            <w:r>
              <w:rPr>
                <w:rFonts w:hint="eastAsia" w:ascii="宋体" w:hAnsi="宋体" w:eastAsia="宋体" w:cs="宋体"/>
                <w:sz w:val="18"/>
                <w:szCs w:val="18"/>
              </w:rPr>
              <w:t>GB/T 5096</w:t>
            </w:r>
          </w:p>
        </w:tc>
      </w:tr>
      <w:tr w14:paraId="1AA8D2AD">
        <w:tblPrEx>
          <w:tblBorders>
            <w:top w:val="single" w:color="000000" w:sz="12" w:space="0"/>
            <w:left w:val="single" w:color="000000" w:sz="12" w:space="0"/>
            <w:bottom w:val="single" w:color="000000" w:sz="12" w:space="0"/>
            <w:right w:val="single" w:color="000000" w:sz="12" w:space="0"/>
            <w:insideH w:val="single" w:color="auto" w:sz="4" w:space="0"/>
            <w:insideV w:val="none" w:color="auto" w:sz="0" w:space="0"/>
          </w:tblBorders>
          <w:tblCellMar>
            <w:top w:w="0" w:type="dxa"/>
            <w:left w:w="108" w:type="dxa"/>
            <w:bottom w:w="0" w:type="dxa"/>
            <w:right w:w="108" w:type="dxa"/>
          </w:tblCellMar>
        </w:tblPrEx>
        <w:trPr>
          <w:trHeight w:val="0" w:hRule="atLeast"/>
          <w:jc w:val="center"/>
        </w:trPr>
        <w:tc>
          <w:tcPr>
            <w:tcW w:w="4902" w:type="dxa"/>
            <w:tcBorders>
              <w:tl2br w:val="nil"/>
              <w:tr2bl w:val="nil"/>
            </w:tcBorders>
            <w:shd w:val="clear" w:color="auto" w:fill="FFFFFF" w:themeFill="background1"/>
            <w:vAlign w:val="center"/>
          </w:tcPr>
          <w:p w14:paraId="49D94F95">
            <w:pPr>
              <w:snapToGrid w:val="0"/>
              <w:rPr>
                <w:rFonts w:hint="eastAsia" w:ascii="宋体" w:hAnsi="宋体" w:eastAsia="宋体" w:cs="宋体"/>
                <w:sz w:val="18"/>
                <w:szCs w:val="18"/>
              </w:rPr>
            </w:pPr>
            <w:r>
              <w:rPr>
                <w:rFonts w:hint="eastAsia" w:ascii="宋体" w:hAnsi="宋体" w:eastAsia="宋体" w:cs="宋体"/>
                <w:sz w:val="18"/>
                <w:szCs w:val="18"/>
              </w:rPr>
              <w:t>水含量</w:t>
            </w:r>
            <w:r>
              <w:rPr>
                <w:rFonts w:hint="eastAsia" w:ascii="宋体" w:hAnsi="宋体" w:eastAsia="宋体" w:cs="宋体"/>
                <w:sz w:val="18"/>
                <w:szCs w:val="18"/>
                <w:vertAlign w:val="superscript"/>
              </w:rPr>
              <w:t>d</w:t>
            </w:r>
            <w:r>
              <w:rPr>
                <w:rFonts w:hint="eastAsia" w:ascii="宋体" w:hAnsi="宋体" w:eastAsia="宋体" w:cs="宋体"/>
                <w:sz w:val="18"/>
                <w:szCs w:val="18"/>
              </w:rPr>
              <w:t>（体积分数）/%</w:t>
            </w:r>
          </w:p>
        </w:tc>
        <w:tc>
          <w:tcPr>
            <w:tcW w:w="893" w:type="dxa"/>
            <w:tcBorders>
              <w:right w:val="single" w:color="000000" w:sz="4" w:space="0"/>
              <w:tl2br w:val="nil"/>
              <w:tr2bl w:val="nil"/>
            </w:tcBorders>
            <w:shd w:val="clear" w:color="auto" w:fill="FFFFFF" w:themeFill="background1"/>
            <w:vAlign w:val="center"/>
          </w:tcPr>
          <w:p w14:paraId="30CEE1CB">
            <w:pPr>
              <w:snapToGrid w:val="0"/>
              <w:jc w:val="right"/>
              <w:rPr>
                <w:rFonts w:hint="eastAsia" w:ascii="宋体" w:hAnsi="宋体" w:eastAsia="宋体" w:cs="宋体"/>
                <w:bCs/>
                <w:sz w:val="18"/>
                <w:szCs w:val="18"/>
              </w:rPr>
            </w:pPr>
            <w:r>
              <w:rPr>
                <w:rFonts w:hint="eastAsia" w:ascii="宋体" w:hAnsi="宋体" w:eastAsia="宋体" w:cs="宋体"/>
                <w:bCs/>
                <w:sz w:val="18"/>
                <w:szCs w:val="18"/>
              </w:rPr>
              <w:t>不大于</w:t>
            </w:r>
          </w:p>
        </w:tc>
        <w:tc>
          <w:tcPr>
            <w:tcW w:w="2322"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BB8FA59">
            <w:pPr>
              <w:snapToGrid w:val="0"/>
              <w:jc w:val="center"/>
              <w:rPr>
                <w:rFonts w:hint="eastAsia" w:ascii="宋体" w:hAnsi="宋体" w:eastAsia="宋体" w:cs="宋体"/>
                <w:sz w:val="18"/>
                <w:szCs w:val="18"/>
              </w:rPr>
            </w:pPr>
            <w:r>
              <w:rPr>
                <w:rFonts w:hint="eastAsia" w:ascii="宋体" w:hAnsi="宋体" w:eastAsia="宋体" w:cs="宋体"/>
                <w:sz w:val="18"/>
                <w:szCs w:val="18"/>
              </w:rPr>
              <w:t>痕迹</w:t>
            </w:r>
          </w:p>
        </w:tc>
        <w:tc>
          <w:tcPr>
            <w:tcW w:w="1453" w:type="dxa"/>
            <w:tcBorders>
              <w:left w:val="single" w:color="000000" w:sz="4" w:space="0"/>
              <w:tl2br w:val="nil"/>
              <w:tr2bl w:val="nil"/>
            </w:tcBorders>
            <w:shd w:val="clear" w:color="auto" w:fill="FFFFFF" w:themeFill="background1"/>
            <w:vAlign w:val="center"/>
          </w:tcPr>
          <w:p w14:paraId="5268D464">
            <w:pPr>
              <w:snapToGrid w:val="0"/>
              <w:jc w:val="center"/>
              <w:rPr>
                <w:rFonts w:hint="eastAsia" w:ascii="宋体" w:hAnsi="宋体" w:eastAsia="宋体" w:cs="宋体"/>
                <w:sz w:val="18"/>
                <w:szCs w:val="18"/>
              </w:rPr>
            </w:pPr>
            <w:r>
              <w:rPr>
                <w:rFonts w:hint="eastAsia" w:ascii="宋体" w:hAnsi="宋体" w:eastAsia="宋体" w:cs="宋体"/>
                <w:sz w:val="18"/>
                <w:szCs w:val="18"/>
              </w:rPr>
              <w:t>GB/T 260</w:t>
            </w:r>
          </w:p>
        </w:tc>
      </w:tr>
      <w:tr w14:paraId="4B7DCBB3">
        <w:tblPrEx>
          <w:tblBorders>
            <w:top w:val="single" w:color="000000" w:sz="12" w:space="0"/>
            <w:left w:val="single" w:color="000000" w:sz="12" w:space="0"/>
            <w:bottom w:val="single" w:color="000000" w:sz="12" w:space="0"/>
            <w:right w:val="single" w:color="000000" w:sz="12" w:space="0"/>
            <w:insideH w:val="single" w:color="auto" w:sz="4" w:space="0"/>
            <w:insideV w:val="none" w:color="auto" w:sz="0" w:space="0"/>
          </w:tblBorders>
          <w:tblCellMar>
            <w:top w:w="0" w:type="dxa"/>
            <w:left w:w="108" w:type="dxa"/>
            <w:bottom w:w="0" w:type="dxa"/>
            <w:right w:w="108" w:type="dxa"/>
          </w:tblCellMar>
        </w:tblPrEx>
        <w:trPr>
          <w:trHeight w:val="0" w:hRule="atLeast"/>
          <w:jc w:val="center"/>
        </w:trPr>
        <w:tc>
          <w:tcPr>
            <w:tcW w:w="4902" w:type="dxa"/>
            <w:tcBorders>
              <w:tl2br w:val="nil"/>
              <w:tr2bl w:val="nil"/>
            </w:tcBorders>
            <w:shd w:val="clear" w:color="auto" w:fill="FFFFFF" w:themeFill="background1"/>
            <w:vAlign w:val="center"/>
          </w:tcPr>
          <w:p w14:paraId="59A70239">
            <w:pPr>
              <w:snapToGrid w:val="0"/>
              <w:jc w:val="left"/>
              <w:rPr>
                <w:rFonts w:hint="eastAsia" w:ascii="宋体" w:hAnsi="宋体" w:eastAsia="宋体" w:cs="宋体"/>
                <w:bCs/>
                <w:sz w:val="18"/>
                <w:szCs w:val="18"/>
              </w:rPr>
            </w:pPr>
            <w:r>
              <w:rPr>
                <w:rFonts w:hint="eastAsia" w:ascii="宋体" w:hAnsi="宋体" w:eastAsia="宋体" w:cs="宋体"/>
                <w:bCs/>
                <w:sz w:val="18"/>
                <w:szCs w:val="18"/>
              </w:rPr>
              <w:t>润滑性</w:t>
            </w:r>
          </w:p>
          <w:p w14:paraId="770D3A91">
            <w:pPr>
              <w:snapToGrid w:val="0"/>
              <w:jc w:val="right"/>
              <w:rPr>
                <w:rFonts w:hint="eastAsia" w:ascii="宋体" w:hAnsi="宋体" w:eastAsia="宋体" w:cs="宋体"/>
                <w:sz w:val="18"/>
                <w:szCs w:val="18"/>
              </w:rPr>
            </w:pPr>
            <w:r>
              <w:rPr>
                <w:rFonts w:hint="eastAsia" w:ascii="宋体" w:hAnsi="宋体" w:eastAsia="宋体" w:cs="宋体"/>
                <w:bCs/>
                <w:sz w:val="18"/>
                <w:szCs w:val="18"/>
              </w:rPr>
              <w:t>校正磨痕直径（60 ℃）/μm</w:t>
            </w:r>
          </w:p>
        </w:tc>
        <w:tc>
          <w:tcPr>
            <w:tcW w:w="893" w:type="dxa"/>
            <w:tcBorders>
              <w:right w:val="single" w:color="000000" w:sz="4" w:space="0"/>
              <w:tl2br w:val="nil"/>
              <w:tr2bl w:val="nil"/>
            </w:tcBorders>
            <w:shd w:val="clear" w:color="auto" w:fill="FFFFFF" w:themeFill="background1"/>
            <w:vAlign w:val="center"/>
          </w:tcPr>
          <w:p w14:paraId="518CC22A">
            <w:pPr>
              <w:snapToGrid w:val="0"/>
              <w:jc w:val="right"/>
              <w:rPr>
                <w:rFonts w:hint="eastAsia" w:ascii="宋体" w:hAnsi="宋体" w:eastAsia="宋体" w:cs="宋体"/>
                <w:bCs/>
                <w:sz w:val="18"/>
                <w:szCs w:val="18"/>
              </w:rPr>
            </w:pPr>
          </w:p>
          <w:p w14:paraId="200197E8">
            <w:pPr>
              <w:snapToGrid w:val="0"/>
              <w:jc w:val="right"/>
              <w:rPr>
                <w:rFonts w:hint="eastAsia" w:ascii="宋体" w:hAnsi="宋体" w:eastAsia="宋体" w:cs="宋体"/>
                <w:bCs/>
                <w:sz w:val="18"/>
                <w:szCs w:val="18"/>
              </w:rPr>
            </w:pPr>
            <w:r>
              <w:rPr>
                <w:rFonts w:hint="eastAsia" w:ascii="宋体" w:hAnsi="宋体" w:eastAsia="宋体" w:cs="宋体"/>
                <w:bCs/>
                <w:sz w:val="18"/>
                <w:szCs w:val="18"/>
              </w:rPr>
              <w:t>不大于</w:t>
            </w:r>
          </w:p>
        </w:tc>
        <w:tc>
          <w:tcPr>
            <w:tcW w:w="2322"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2DFDB73">
            <w:pPr>
              <w:snapToGrid w:val="0"/>
              <w:jc w:val="center"/>
              <w:rPr>
                <w:rFonts w:hint="eastAsia" w:ascii="宋体" w:hAnsi="宋体" w:eastAsia="宋体" w:cs="宋体"/>
                <w:sz w:val="18"/>
                <w:szCs w:val="18"/>
              </w:rPr>
            </w:pPr>
          </w:p>
          <w:p w14:paraId="782D602B">
            <w:pPr>
              <w:snapToGrid w:val="0"/>
              <w:jc w:val="center"/>
              <w:rPr>
                <w:rFonts w:hint="eastAsia" w:ascii="宋体" w:hAnsi="宋体" w:eastAsia="宋体" w:cs="宋体"/>
                <w:bCs/>
                <w:sz w:val="18"/>
                <w:szCs w:val="18"/>
              </w:rPr>
            </w:pPr>
            <w:r>
              <w:rPr>
                <w:rFonts w:hint="eastAsia" w:ascii="宋体" w:hAnsi="宋体" w:eastAsia="宋体" w:cs="宋体"/>
                <w:sz w:val="18"/>
                <w:szCs w:val="18"/>
              </w:rPr>
              <w:t>420</w:t>
            </w:r>
          </w:p>
        </w:tc>
        <w:tc>
          <w:tcPr>
            <w:tcW w:w="1453" w:type="dxa"/>
            <w:tcBorders>
              <w:left w:val="single" w:color="000000" w:sz="4" w:space="0"/>
              <w:tl2br w:val="nil"/>
              <w:tr2bl w:val="nil"/>
            </w:tcBorders>
            <w:shd w:val="clear" w:color="auto" w:fill="FFFFFF" w:themeFill="background1"/>
            <w:vAlign w:val="center"/>
          </w:tcPr>
          <w:p w14:paraId="7FCF36FF">
            <w:pPr>
              <w:snapToGrid w:val="0"/>
              <w:jc w:val="center"/>
              <w:rPr>
                <w:rFonts w:hint="eastAsia" w:ascii="宋体" w:hAnsi="宋体" w:eastAsia="宋体" w:cs="宋体"/>
                <w:sz w:val="18"/>
                <w:szCs w:val="18"/>
              </w:rPr>
            </w:pPr>
            <w:r>
              <w:rPr>
                <w:rFonts w:hint="eastAsia" w:ascii="宋体" w:hAnsi="宋体" w:eastAsia="宋体" w:cs="宋体"/>
                <w:bCs/>
                <w:sz w:val="18"/>
                <w:szCs w:val="18"/>
              </w:rPr>
              <w:t>NB/SH/T 0765</w:t>
            </w:r>
          </w:p>
        </w:tc>
      </w:tr>
      <w:tr w14:paraId="7031B8C6">
        <w:tblPrEx>
          <w:tblBorders>
            <w:top w:val="single" w:color="000000" w:sz="12" w:space="0"/>
            <w:left w:val="single" w:color="000000" w:sz="12" w:space="0"/>
            <w:bottom w:val="single" w:color="000000" w:sz="12" w:space="0"/>
            <w:right w:val="single" w:color="000000" w:sz="12" w:space="0"/>
            <w:insideH w:val="single" w:color="auto" w:sz="4" w:space="0"/>
            <w:insideV w:val="none" w:color="auto" w:sz="0" w:space="0"/>
          </w:tblBorders>
          <w:tblCellMar>
            <w:top w:w="0" w:type="dxa"/>
            <w:left w:w="108" w:type="dxa"/>
            <w:bottom w:w="0" w:type="dxa"/>
            <w:right w:w="108" w:type="dxa"/>
          </w:tblCellMar>
        </w:tblPrEx>
        <w:trPr>
          <w:trHeight w:val="0" w:hRule="atLeast"/>
          <w:jc w:val="center"/>
        </w:trPr>
        <w:tc>
          <w:tcPr>
            <w:tcW w:w="4902" w:type="dxa"/>
            <w:tcBorders>
              <w:tl2br w:val="nil"/>
              <w:tr2bl w:val="nil"/>
            </w:tcBorders>
            <w:shd w:val="clear" w:color="auto" w:fill="FFFFFF" w:themeFill="background1"/>
            <w:vAlign w:val="center"/>
          </w:tcPr>
          <w:p w14:paraId="33FC5DA2">
            <w:pPr>
              <w:snapToGrid w:val="0"/>
              <w:rPr>
                <w:rFonts w:hint="eastAsia" w:ascii="宋体" w:hAnsi="宋体" w:eastAsia="宋体" w:cs="宋体"/>
                <w:sz w:val="18"/>
                <w:szCs w:val="18"/>
              </w:rPr>
            </w:pPr>
            <w:r>
              <w:rPr>
                <w:rFonts w:hint="eastAsia" w:ascii="宋体" w:hAnsi="宋体" w:eastAsia="宋体" w:cs="宋体"/>
                <w:bCs/>
                <w:sz w:val="18"/>
                <w:szCs w:val="18"/>
              </w:rPr>
              <w:t>多环芳烃含量</w:t>
            </w:r>
            <w:r>
              <w:rPr>
                <w:rFonts w:hint="eastAsia" w:ascii="宋体" w:hAnsi="宋体" w:eastAsia="宋体" w:cs="宋体"/>
                <w:bCs/>
                <w:sz w:val="18"/>
                <w:szCs w:val="18"/>
                <w:vertAlign w:val="superscript"/>
              </w:rPr>
              <w:t>e</w:t>
            </w:r>
            <w:r>
              <w:rPr>
                <w:rFonts w:hint="eastAsia" w:ascii="宋体" w:hAnsi="宋体" w:eastAsia="宋体" w:cs="宋体"/>
                <w:bCs/>
                <w:sz w:val="18"/>
                <w:szCs w:val="18"/>
              </w:rPr>
              <w:t>（质量分数）/%</w:t>
            </w:r>
          </w:p>
        </w:tc>
        <w:tc>
          <w:tcPr>
            <w:tcW w:w="893" w:type="dxa"/>
            <w:tcBorders>
              <w:right w:val="single" w:color="000000" w:sz="4" w:space="0"/>
              <w:tl2br w:val="nil"/>
              <w:tr2bl w:val="nil"/>
            </w:tcBorders>
            <w:shd w:val="clear" w:color="auto" w:fill="FFFFFF" w:themeFill="background1"/>
            <w:vAlign w:val="center"/>
          </w:tcPr>
          <w:p w14:paraId="73A0CDE4">
            <w:pPr>
              <w:snapToGrid w:val="0"/>
              <w:jc w:val="right"/>
              <w:rPr>
                <w:rFonts w:hint="eastAsia" w:ascii="宋体" w:hAnsi="宋体" w:eastAsia="宋体" w:cs="宋体"/>
                <w:bCs/>
                <w:sz w:val="18"/>
                <w:szCs w:val="18"/>
              </w:rPr>
            </w:pPr>
            <w:r>
              <w:rPr>
                <w:rFonts w:hint="eastAsia" w:ascii="宋体" w:hAnsi="宋体" w:eastAsia="宋体" w:cs="宋体"/>
                <w:bCs/>
                <w:sz w:val="18"/>
                <w:szCs w:val="18"/>
              </w:rPr>
              <w:t>不大于</w:t>
            </w:r>
          </w:p>
        </w:tc>
        <w:tc>
          <w:tcPr>
            <w:tcW w:w="2322"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078CF3">
            <w:pPr>
              <w:snapToGrid w:val="0"/>
              <w:jc w:val="center"/>
              <w:rPr>
                <w:rFonts w:hint="eastAsia" w:ascii="宋体" w:hAnsi="宋体" w:eastAsia="宋体" w:cs="宋体"/>
                <w:bCs/>
                <w:sz w:val="18"/>
                <w:szCs w:val="18"/>
                <w:lang w:eastAsia="zh-CN"/>
              </w:rPr>
            </w:pPr>
            <w:r>
              <w:rPr>
                <w:rFonts w:hint="eastAsia" w:ascii="宋体" w:hAnsi="宋体" w:eastAsia="宋体" w:cs="宋体"/>
                <w:sz w:val="18"/>
                <w:szCs w:val="18"/>
                <w:lang w:val="en-US" w:eastAsia="zh-CN"/>
              </w:rPr>
              <w:t>5</w:t>
            </w:r>
          </w:p>
        </w:tc>
        <w:tc>
          <w:tcPr>
            <w:tcW w:w="1453" w:type="dxa"/>
            <w:tcBorders>
              <w:left w:val="single" w:color="000000" w:sz="4" w:space="0"/>
              <w:tl2br w:val="nil"/>
              <w:tr2bl w:val="nil"/>
            </w:tcBorders>
            <w:shd w:val="clear" w:color="auto" w:fill="FFFFFF" w:themeFill="background1"/>
            <w:vAlign w:val="center"/>
          </w:tcPr>
          <w:p w14:paraId="6BB7407C">
            <w:pPr>
              <w:snapToGrid w:val="0"/>
              <w:jc w:val="center"/>
              <w:rPr>
                <w:rFonts w:hint="eastAsia" w:ascii="宋体" w:hAnsi="宋体" w:eastAsia="宋体" w:cs="宋体"/>
                <w:sz w:val="18"/>
                <w:szCs w:val="18"/>
              </w:rPr>
            </w:pPr>
            <w:r>
              <w:rPr>
                <w:rFonts w:hint="eastAsia" w:ascii="宋体" w:hAnsi="宋体" w:eastAsia="宋体" w:cs="宋体"/>
                <w:bCs/>
                <w:sz w:val="18"/>
                <w:szCs w:val="18"/>
              </w:rPr>
              <w:t>NB/SH/T 0806</w:t>
            </w:r>
          </w:p>
        </w:tc>
      </w:tr>
      <w:tr w14:paraId="17BB3862">
        <w:tblPrEx>
          <w:tblBorders>
            <w:top w:val="single" w:color="000000" w:sz="12" w:space="0"/>
            <w:left w:val="single" w:color="000000" w:sz="12" w:space="0"/>
            <w:bottom w:val="single" w:color="000000" w:sz="12" w:space="0"/>
            <w:right w:val="single" w:color="000000" w:sz="12" w:space="0"/>
            <w:insideH w:val="single" w:color="auto" w:sz="4" w:space="0"/>
            <w:insideV w:val="none" w:color="auto" w:sz="0" w:space="0"/>
          </w:tblBorders>
          <w:tblCellMar>
            <w:top w:w="0" w:type="dxa"/>
            <w:left w:w="108" w:type="dxa"/>
            <w:bottom w:w="0" w:type="dxa"/>
            <w:right w:w="108" w:type="dxa"/>
          </w:tblCellMar>
        </w:tblPrEx>
        <w:trPr>
          <w:trHeight w:val="0" w:hRule="atLeast"/>
          <w:jc w:val="center"/>
        </w:trPr>
        <w:tc>
          <w:tcPr>
            <w:tcW w:w="4902" w:type="dxa"/>
            <w:tcBorders>
              <w:tl2br w:val="nil"/>
              <w:tr2bl w:val="nil"/>
            </w:tcBorders>
            <w:shd w:val="clear" w:color="auto" w:fill="FFFFFF" w:themeFill="background1"/>
            <w:vAlign w:val="center"/>
          </w:tcPr>
          <w:p w14:paraId="3E8A7B24">
            <w:pPr>
              <w:snapToGrid w:val="0"/>
              <w:rPr>
                <w:rFonts w:hint="eastAsia" w:ascii="宋体" w:hAnsi="宋体" w:eastAsia="宋体" w:cs="宋体"/>
                <w:bCs/>
                <w:sz w:val="18"/>
                <w:szCs w:val="18"/>
              </w:rPr>
            </w:pPr>
            <w:r>
              <w:rPr>
                <w:rFonts w:hint="eastAsia" w:ascii="宋体" w:hAnsi="宋体" w:eastAsia="宋体" w:cs="宋体"/>
                <w:bCs/>
                <w:sz w:val="18"/>
                <w:szCs w:val="18"/>
              </w:rPr>
              <w:t>总污染物含量/（mg/kg）</w:t>
            </w:r>
          </w:p>
        </w:tc>
        <w:tc>
          <w:tcPr>
            <w:tcW w:w="893" w:type="dxa"/>
            <w:tcBorders>
              <w:right w:val="single" w:color="000000" w:sz="4" w:space="0"/>
              <w:tl2br w:val="nil"/>
              <w:tr2bl w:val="nil"/>
            </w:tcBorders>
            <w:shd w:val="clear" w:color="auto" w:fill="FFFFFF" w:themeFill="background1"/>
            <w:vAlign w:val="center"/>
          </w:tcPr>
          <w:p w14:paraId="61A2ED9E">
            <w:pPr>
              <w:snapToGrid w:val="0"/>
              <w:jc w:val="right"/>
              <w:rPr>
                <w:rFonts w:hint="eastAsia" w:ascii="宋体" w:hAnsi="宋体" w:eastAsia="宋体" w:cs="宋体"/>
                <w:bCs/>
                <w:sz w:val="18"/>
                <w:szCs w:val="18"/>
              </w:rPr>
            </w:pPr>
            <w:r>
              <w:rPr>
                <w:rFonts w:hint="eastAsia" w:ascii="宋体" w:hAnsi="宋体" w:eastAsia="宋体" w:cs="宋体"/>
                <w:bCs/>
                <w:sz w:val="18"/>
                <w:szCs w:val="18"/>
              </w:rPr>
              <w:t>不大于</w:t>
            </w:r>
          </w:p>
        </w:tc>
        <w:tc>
          <w:tcPr>
            <w:tcW w:w="2322"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282A28F">
            <w:pPr>
              <w:snapToGrid w:val="0"/>
              <w:jc w:val="center"/>
              <w:rPr>
                <w:rFonts w:hint="eastAsia" w:ascii="宋体" w:hAnsi="宋体" w:eastAsia="宋体" w:cs="宋体"/>
                <w:bCs/>
                <w:sz w:val="18"/>
                <w:szCs w:val="18"/>
              </w:rPr>
            </w:pPr>
            <w:r>
              <w:rPr>
                <w:rFonts w:hint="eastAsia" w:ascii="宋体" w:hAnsi="宋体" w:eastAsia="宋体" w:cs="宋体"/>
                <w:bCs/>
                <w:sz w:val="18"/>
                <w:szCs w:val="18"/>
              </w:rPr>
              <w:t>15</w:t>
            </w:r>
          </w:p>
        </w:tc>
        <w:tc>
          <w:tcPr>
            <w:tcW w:w="1453" w:type="dxa"/>
            <w:tcBorders>
              <w:left w:val="single" w:color="000000" w:sz="4" w:space="0"/>
              <w:tl2br w:val="nil"/>
              <w:tr2bl w:val="nil"/>
            </w:tcBorders>
            <w:shd w:val="clear" w:color="auto" w:fill="FFFFFF" w:themeFill="background1"/>
            <w:vAlign w:val="center"/>
          </w:tcPr>
          <w:p w14:paraId="28A331D3">
            <w:pPr>
              <w:snapToGrid w:val="0"/>
              <w:jc w:val="center"/>
              <w:rPr>
                <w:rFonts w:hint="eastAsia" w:ascii="宋体" w:hAnsi="宋体" w:eastAsia="宋体" w:cs="宋体"/>
                <w:bCs/>
                <w:sz w:val="18"/>
                <w:szCs w:val="18"/>
              </w:rPr>
            </w:pPr>
            <w:r>
              <w:rPr>
                <w:rFonts w:hint="eastAsia" w:ascii="宋体" w:hAnsi="宋体" w:eastAsia="宋体" w:cs="宋体"/>
                <w:bCs/>
                <w:sz w:val="18"/>
                <w:szCs w:val="18"/>
              </w:rPr>
              <w:t>GB/T 33400</w:t>
            </w:r>
          </w:p>
        </w:tc>
      </w:tr>
      <w:tr w14:paraId="04D9D686">
        <w:tblPrEx>
          <w:tblBorders>
            <w:top w:val="single" w:color="000000" w:sz="12" w:space="0"/>
            <w:left w:val="single" w:color="000000" w:sz="12" w:space="0"/>
            <w:bottom w:val="single" w:color="000000" w:sz="12" w:space="0"/>
            <w:right w:val="single" w:color="000000" w:sz="12" w:space="0"/>
            <w:insideH w:val="single" w:color="auto" w:sz="4" w:space="0"/>
            <w:insideV w:val="none" w:color="auto" w:sz="0" w:space="0"/>
          </w:tblBorders>
          <w:tblCellMar>
            <w:top w:w="0" w:type="dxa"/>
            <w:left w:w="108" w:type="dxa"/>
            <w:bottom w:w="0" w:type="dxa"/>
            <w:right w:w="108" w:type="dxa"/>
          </w:tblCellMar>
        </w:tblPrEx>
        <w:trPr>
          <w:trHeight w:val="0" w:hRule="atLeast"/>
          <w:jc w:val="center"/>
        </w:trPr>
        <w:tc>
          <w:tcPr>
            <w:tcW w:w="4902" w:type="dxa"/>
            <w:tcBorders>
              <w:tl2br w:val="nil"/>
              <w:tr2bl w:val="nil"/>
            </w:tcBorders>
            <w:shd w:val="clear" w:color="auto" w:fill="FFFFFF" w:themeFill="background1"/>
            <w:vAlign w:val="center"/>
          </w:tcPr>
          <w:p w14:paraId="046EBB15">
            <w:pPr>
              <w:snapToGrid w:val="0"/>
              <w:rPr>
                <w:rFonts w:hint="eastAsia" w:ascii="宋体" w:hAnsi="宋体" w:eastAsia="宋体" w:cs="宋体"/>
                <w:sz w:val="18"/>
                <w:szCs w:val="18"/>
              </w:rPr>
            </w:pPr>
            <w:r>
              <w:rPr>
                <w:rFonts w:hint="eastAsia" w:ascii="宋体" w:hAnsi="宋体" w:eastAsia="宋体" w:cs="宋体"/>
                <w:sz w:val="18"/>
                <w:szCs w:val="18"/>
              </w:rPr>
              <w:t>运动黏度</w:t>
            </w:r>
            <w:r>
              <w:rPr>
                <w:rFonts w:hint="eastAsia" w:ascii="宋体" w:hAnsi="宋体" w:eastAsia="宋体" w:cs="宋体"/>
                <w:sz w:val="18"/>
                <w:szCs w:val="18"/>
                <w:vertAlign w:val="superscript"/>
              </w:rPr>
              <w:t>f</w:t>
            </w:r>
            <w:r>
              <w:rPr>
                <w:rFonts w:hint="eastAsia" w:ascii="宋体" w:hAnsi="宋体" w:eastAsia="宋体" w:cs="宋体"/>
                <w:sz w:val="18"/>
                <w:szCs w:val="18"/>
              </w:rPr>
              <w:t>（20 ℃）/（</w:t>
            </w:r>
            <w:r>
              <w:rPr>
                <w:rFonts w:hint="eastAsia" w:ascii="宋体" w:hAnsi="宋体" w:eastAsia="宋体" w:cs="宋体"/>
                <w:bCs/>
                <w:sz w:val="18"/>
                <w:szCs w:val="18"/>
              </w:rPr>
              <w:t>mm</w:t>
            </w:r>
            <w:r>
              <w:rPr>
                <w:rFonts w:hint="eastAsia" w:ascii="宋体" w:hAnsi="宋体" w:eastAsia="宋体" w:cs="宋体"/>
                <w:bCs/>
                <w:sz w:val="18"/>
                <w:szCs w:val="18"/>
                <w:vertAlign w:val="superscript"/>
              </w:rPr>
              <w:t>2</w:t>
            </w:r>
            <w:r>
              <w:rPr>
                <w:rFonts w:hint="eastAsia" w:ascii="宋体" w:hAnsi="宋体" w:eastAsia="宋体" w:cs="宋体"/>
                <w:bCs/>
                <w:sz w:val="18"/>
                <w:szCs w:val="18"/>
              </w:rPr>
              <w:t>/s</w:t>
            </w:r>
            <w:r>
              <w:rPr>
                <w:rFonts w:hint="eastAsia" w:ascii="宋体" w:hAnsi="宋体" w:eastAsia="宋体" w:cs="宋体"/>
                <w:sz w:val="18"/>
                <w:szCs w:val="18"/>
              </w:rPr>
              <w:t>）</w:t>
            </w:r>
          </w:p>
        </w:tc>
        <w:tc>
          <w:tcPr>
            <w:tcW w:w="893" w:type="dxa"/>
            <w:tcBorders>
              <w:right w:val="single" w:color="000000" w:sz="4" w:space="0"/>
              <w:tl2br w:val="nil"/>
              <w:tr2bl w:val="nil"/>
            </w:tcBorders>
            <w:shd w:val="clear" w:color="auto" w:fill="FFFFFF" w:themeFill="background1"/>
            <w:vAlign w:val="center"/>
          </w:tcPr>
          <w:p w14:paraId="270BBFF0">
            <w:pPr>
              <w:snapToGrid w:val="0"/>
              <w:jc w:val="right"/>
              <w:rPr>
                <w:rFonts w:hint="eastAsia" w:ascii="宋体" w:hAnsi="宋体" w:eastAsia="宋体" w:cs="宋体"/>
                <w:bCs/>
                <w:sz w:val="18"/>
                <w:szCs w:val="18"/>
              </w:rPr>
            </w:pPr>
            <w:r>
              <w:rPr>
                <w:rFonts w:hint="eastAsia" w:ascii="宋体" w:hAnsi="宋体" w:eastAsia="宋体" w:cs="宋体"/>
                <w:bCs/>
                <w:sz w:val="18"/>
                <w:szCs w:val="18"/>
              </w:rPr>
              <w:t>不大于</w:t>
            </w:r>
          </w:p>
        </w:tc>
        <w:tc>
          <w:tcPr>
            <w:tcW w:w="116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8CF3395">
            <w:pPr>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rPr>
              <w:t>3</w:t>
            </w:r>
            <w:r>
              <w:rPr>
                <w:rFonts w:hint="eastAsia" w:ascii="宋体" w:hAnsi="宋体" w:eastAsia="宋体" w:cs="宋体"/>
                <w:sz w:val="18"/>
                <w:szCs w:val="18"/>
                <w:lang w:val="en-US" w:eastAsia="zh-CN"/>
              </w:rPr>
              <w:t>.0</w:t>
            </w:r>
            <w:r>
              <w:rPr>
                <w:rFonts w:hint="eastAsia" w:cs="宋体"/>
                <w:sz w:val="18"/>
                <w:szCs w:val="18"/>
                <w:lang w:val="en-US" w:eastAsia="zh-CN"/>
              </w:rPr>
              <w:t xml:space="preserve"> </w:t>
            </w:r>
            <w:r>
              <w:rPr>
                <w:rFonts w:hint="default" w:ascii="Times New Roman" w:hAnsi="Times New Roman" w:eastAsia="宋体" w:cs="Times New Roman"/>
                <w:sz w:val="18"/>
                <w:szCs w:val="18"/>
                <w:lang w:val="en-US" w:eastAsia="zh-CN"/>
              </w:rPr>
              <w:t>~</w:t>
            </w:r>
            <w:r>
              <w:rPr>
                <w:rFonts w:hint="eastAsia" w:ascii="Times New Roman" w:hAnsi="Times New Roman" w:cs="Times New Roman"/>
                <w:sz w:val="18"/>
                <w:szCs w:val="18"/>
                <w:lang w:val="en-US" w:eastAsia="zh-CN"/>
              </w:rPr>
              <w:t xml:space="preserve"> </w:t>
            </w:r>
            <w:r>
              <w:rPr>
                <w:rFonts w:hint="eastAsia" w:ascii="宋体" w:hAnsi="宋体" w:eastAsia="宋体" w:cs="宋体"/>
                <w:sz w:val="18"/>
                <w:szCs w:val="18"/>
              </w:rPr>
              <w:t>8</w:t>
            </w:r>
            <w:r>
              <w:rPr>
                <w:rFonts w:hint="eastAsia" w:ascii="宋体" w:hAnsi="宋体" w:eastAsia="宋体" w:cs="宋体"/>
                <w:sz w:val="18"/>
                <w:szCs w:val="18"/>
                <w:lang w:val="en-US" w:eastAsia="zh-CN"/>
              </w:rPr>
              <w:t>.0</w:t>
            </w:r>
          </w:p>
        </w:tc>
        <w:tc>
          <w:tcPr>
            <w:tcW w:w="1162"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0FFA82FE">
            <w:pPr>
              <w:snapToGrid w:val="0"/>
              <w:jc w:val="center"/>
              <w:rPr>
                <w:rFonts w:hint="eastAsia" w:ascii="宋体" w:hAnsi="宋体" w:eastAsia="宋体" w:cs="宋体"/>
                <w:bCs/>
                <w:sz w:val="18"/>
                <w:szCs w:val="18"/>
                <w:lang w:val="en-US" w:eastAsia="zh-CN"/>
              </w:rPr>
            </w:pPr>
            <w:r>
              <w:rPr>
                <w:rFonts w:hint="eastAsia" w:ascii="宋体" w:hAnsi="宋体" w:eastAsia="宋体" w:cs="宋体"/>
                <w:bCs/>
                <w:sz w:val="18"/>
                <w:szCs w:val="18"/>
              </w:rPr>
              <w:t>1.8</w:t>
            </w:r>
            <w:r>
              <w:rPr>
                <w:rFonts w:hint="eastAsia" w:cs="宋体"/>
                <w:bCs/>
                <w:sz w:val="18"/>
                <w:szCs w:val="18"/>
                <w:lang w:val="en-US" w:eastAsia="zh-CN"/>
              </w:rPr>
              <w:t xml:space="preserve"> </w:t>
            </w:r>
            <w:r>
              <w:rPr>
                <w:rFonts w:hint="default" w:ascii="Times New Roman" w:hAnsi="Times New Roman" w:eastAsia="宋体" w:cs="Times New Roman"/>
                <w:sz w:val="18"/>
                <w:szCs w:val="18"/>
                <w:lang w:val="en-US" w:eastAsia="zh-CN"/>
              </w:rPr>
              <w:t>~</w:t>
            </w:r>
            <w:r>
              <w:rPr>
                <w:rFonts w:hint="eastAsia" w:ascii="Times New Roman" w:hAnsi="Times New Roman" w:cs="Times New Roman"/>
                <w:sz w:val="18"/>
                <w:szCs w:val="18"/>
                <w:lang w:val="en-US" w:eastAsia="zh-CN"/>
              </w:rPr>
              <w:t xml:space="preserve"> </w:t>
            </w:r>
            <w:r>
              <w:rPr>
                <w:rFonts w:hint="eastAsia" w:ascii="宋体" w:hAnsi="宋体" w:eastAsia="宋体" w:cs="宋体"/>
                <w:bCs/>
                <w:sz w:val="18"/>
                <w:szCs w:val="18"/>
              </w:rPr>
              <w:t>7</w:t>
            </w:r>
            <w:r>
              <w:rPr>
                <w:rFonts w:hint="eastAsia" w:ascii="宋体" w:hAnsi="宋体" w:eastAsia="宋体" w:cs="宋体"/>
                <w:bCs/>
                <w:sz w:val="18"/>
                <w:szCs w:val="18"/>
                <w:lang w:val="en-US" w:eastAsia="zh-CN"/>
              </w:rPr>
              <w:t>.0</w:t>
            </w:r>
          </w:p>
        </w:tc>
        <w:tc>
          <w:tcPr>
            <w:tcW w:w="1453" w:type="dxa"/>
            <w:tcBorders>
              <w:left w:val="single" w:color="000000" w:sz="4" w:space="0"/>
              <w:tl2br w:val="nil"/>
              <w:tr2bl w:val="nil"/>
            </w:tcBorders>
            <w:shd w:val="clear" w:color="auto" w:fill="FFFFFF" w:themeFill="background1"/>
            <w:vAlign w:val="center"/>
          </w:tcPr>
          <w:p w14:paraId="18801607">
            <w:pPr>
              <w:snapToGrid w:val="0"/>
              <w:jc w:val="center"/>
              <w:rPr>
                <w:rFonts w:hint="eastAsia" w:ascii="宋体" w:hAnsi="宋体" w:eastAsia="宋体" w:cs="宋体"/>
                <w:sz w:val="18"/>
                <w:szCs w:val="18"/>
              </w:rPr>
            </w:pPr>
            <w:r>
              <w:rPr>
                <w:rFonts w:hint="eastAsia" w:ascii="宋体" w:hAnsi="宋体" w:eastAsia="宋体" w:cs="宋体"/>
                <w:bCs/>
                <w:sz w:val="18"/>
                <w:szCs w:val="18"/>
              </w:rPr>
              <w:t>GB/T 265</w:t>
            </w:r>
          </w:p>
        </w:tc>
      </w:tr>
      <w:tr w14:paraId="7B95193D">
        <w:tblPrEx>
          <w:tblBorders>
            <w:top w:val="single" w:color="000000" w:sz="12" w:space="0"/>
            <w:left w:val="single" w:color="000000" w:sz="12" w:space="0"/>
            <w:bottom w:val="single" w:color="000000" w:sz="12" w:space="0"/>
            <w:right w:val="single" w:color="000000" w:sz="12" w:space="0"/>
            <w:insideH w:val="single" w:color="auto" w:sz="4" w:space="0"/>
            <w:insideV w:val="none" w:color="auto" w:sz="0" w:space="0"/>
          </w:tblBorders>
          <w:tblCellMar>
            <w:top w:w="0" w:type="dxa"/>
            <w:left w:w="108" w:type="dxa"/>
            <w:bottom w:w="0" w:type="dxa"/>
            <w:right w:w="108" w:type="dxa"/>
          </w:tblCellMar>
        </w:tblPrEx>
        <w:trPr>
          <w:trHeight w:val="0" w:hRule="atLeast"/>
          <w:jc w:val="center"/>
        </w:trPr>
        <w:tc>
          <w:tcPr>
            <w:tcW w:w="4902" w:type="dxa"/>
            <w:tcBorders>
              <w:tl2br w:val="nil"/>
              <w:tr2bl w:val="nil"/>
            </w:tcBorders>
            <w:shd w:val="clear" w:color="auto" w:fill="FFFFFF" w:themeFill="background1"/>
            <w:vAlign w:val="center"/>
          </w:tcPr>
          <w:p w14:paraId="34078D33">
            <w:pPr>
              <w:snapToGrid w:val="0"/>
              <w:rPr>
                <w:rFonts w:hint="eastAsia" w:ascii="宋体" w:hAnsi="宋体" w:eastAsia="宋体" w:cs="宋体"/>
                <w:sz w:val="18"/>
                <w:szCs w:val="18"/>
              </w:rPr>
            </w:pPr>
            <w:r>
              <w:rPr>
                <w:rFonts w:hint="eastAsia" w:ascii="宋体" w:hAnsi="宋体" w:eastAsia="宋体" w:cs="宋体"/>
                <w:sz w:val="18"/>
                <w:szCs w:val="18"/>
              </w:rPr>
              <w:t>凝点/ ℃</w:t>
            </w:r>
          </w:p>
        </w:tc>
        <w:tc>
          <w:tcPr>
            <w:tcW w:w="893" w:type="dxa"/>
            <w:tcBorders>
              <w:right w:val="single" w:color="000000" w:sz="4" w:space="0"/>
              <w:tl2br w:val="nil"/>
              <w:tr2bl w:val="nil"/>
            </w:tcBorders>
            <w:shd w:val="clear" w:color="auto" w:fill="FFFFFF" w:themeFill="background1"/>
            <w:vAlign w:val="center"/>
          </w:tcPr>
          <w:p w14:paraId="20C0B20C">
            <w:pPr>
              <w:snapToGrid w:val="0"/>
              <w:jc w:val="right"/>
              <w:rPr>
                <w:rFonts w:hint="eastAsia" w:ascii="宋体" w:hAnsi="宋体" w:eastAsia="宋体" w:cs="宋体"/>
                <w:bCs/>
                <w:sz w:val="18"/>
                <w:szCs w:val="18"/>
              </w:rPr>
            </w:pPr>
            <w:r>
              <w:rPr>
                <w:rFonts w:hint="eastAsia" w:ascii="宋体" w:hAnsi="宋体" w:eastAsia="宋体" w:cs="宋体"/>
                <w:sz w:val="18"/>
                <w:szCs w:val="18"/>
              </w:rPr>
              <w:t>不高于</w:t>
            </w:r>
          </w:p>
        </w:tc>
        <w:tc>
          <w:tcPr>
            <w:tcW w:w="116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B7B4C01">
            <w:pPr>
              <w:snapToGrid w:val="0"/>
              <w:jc w:val="center"/>
              <w:rPr>
                <w:rFonts w:hint="eastAsia" w:ascii="宋体" w:hAnsi="宋体" w:eastAsia="宋体" w:cs="宋体"/>
                <w:sz w:val="18"/>
                <w:szCs w:val="18"/>
              </w:rPr>
            </w:pPr>
            <w:r>
              <w:rPr>
                <w:rFonts w:hint="eastAsia" w:ascii="宋体" w:hAnsi="宋体" w:eastAsia="宋体" w:cs="宋体"/>
                <w:sz w:val="18"/>
                <w:szCs w:val="18"/>
              </w:rPr>
              <w:t>0</w:t>
            </w:r>
          </w:p>
        </w:tc>
        <w:tc>
          <w:tcPr>
            <w:tcW w:w="1162"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641F8D71">
            <w:pPr>
              <w:snapToGrid w:val="0"/>
              <w:jc w:val="center"/>
              <w:rPr>
                <w:rFonts w:hint="eastAsia" w:ascii="宋体" w:hAnsi="宋体" w:eastAsia="宋体" w:cs="宋体"/>
                <w:sz w:val="18"/>
                <w:szCs w:val="18"/>
              </w:rPr>
            </w:pPr>
            <w:r>
              <w:rPr>
                <w:rFonts w:hint="eastAsia" w:ascii="宋体" w:hAnsi="宋体" w:eastAsia="宋体" w:cs="宋体"/>
                <w:sz w:val="18"/>
                <w:szCs w:val="18"/>
              </w:rPr>
              <w:t>-35</w:t>
            </w:r>
          </w:p>
        </w:tc>
        <w:tc>
          <w:tcPr>
            <w:tcW w:w="1453" w:type="dxa"/>
            <w:tcBorders>
              <w:left w:val="single" w:color="000000" w:sz="4" w:space="0"/>
              <w:tl2br w:val="nil"/>
              <w:tr2bl w:val="nil"/>
            </w:tcBorders>
            <w:shd w:val="clear" w:color="auto" w:fill="FFFFFF" w:themeFill="background1"/>
            <w:vAlign w:val="center"/>
          </w:tcPr>
          <w:p w14:paraId="2982020B">
            <w:pPr>
              <w:snapToGrid w:val="0"/>
              <w:jc w:val="center"/>
              <w:rPr>
                <w:rFonts w:hint="eastAsia" w:ascii="宋体" w:hAnsi="宋体" w:eastAsia="宋体" w:cs="宋体"/>
                <w:sz w:val="18"/>
                <w:szCs w:val="18"/>
              </w:rPr>
            </w:pPr>
            <w:r>
              <w:rPr>
                <w:rFonts w:hint="eastAsia" w:ascii="宋体" w:hAnsi="宋体" w:eastAsia="宋体" w:cs="宋体"/>
                <w:sz w:val="18"/>
                <w:szCs w:val="18"/>
              </w:rPr>
              <w:t>GB/T 510</w:t>
            </w:r>
          </w:p>
        </w:tc>
      </w:tr>
      <w:tr w14:paraId="72F2C244">
        <w:tblPrEx>
          <w:tblBorders>
            <w:top w:val="single" w:color="000000" w:sz="12" w:space="0"/>
            <w:left w:val="single" w:color="000000" w:sz="12" w:space="0"/>
            <w:bottom w:val="single" w:color="000000" w:sz="12" w:space="0"/>
            <w:right w:val="single" w:color="000000" w:sz="12" w:space="0"/>
            <w:insideH w:val="single" w:color="auto" w:sz="4" w:space="0"/>
            <w:insideV w:val="none" w:color="auto" w:sz="0" w:space="0"/>
          </w:tblBorders>
          <w:tblCellMar>
            <w:top w:w="0" w:type="dxa"/>
            <w:left w:w="108" w:type="dxa"/>
            <w:bottom w:w="0" w:type="dxa"/>
            <w:right w:w="108" w:type="dxa"/>
          </w:tblCellMar>
        </w:tblPrEx>
        <w:trPr>
          <w:trHeight w:val="0" w:hRule="atLeast"/>
          <w:jc w:val="center"/>
        </w:trPr>
        <w:tc>
          <w:tcPr>
            <w:tcW w:w="4902" w:type="dxa"/>
            <w:tcBorders>
              <w:tl2br w:val="nil"/>
              <w:tr2bl w:val="nil"/>
            </w:tcBorders>
            <w:shd w:val="clear" w:color="auto" w:fill="FFFFFF" w:themeFill="background1"/>
            <w:vAlign w:val="center"/>
          </w:tcPr>
          <w:p w14:paraId="21F630AC">
            <w:pPr>
              <w:snapToGrid w:val="0"/>
              <w:rPr>
                <w:rFonts w:hint="eastAsia" w:ascii="宋体" w:hAnsi="宋体" w:eastAsia="宋体" w:cs="宋体"/>
                <w:sz w:val="18"/>
                <w:szCs w:val="18"/>
              </w:rPr>
            </w:pPr>
            <w:r>
              <w:rPr>
                <w:rFonts w:hint="eastAsia" w:ascii="宋体" w:hAnsi="宋体" w:eastAsia="宋体" w:cs="宋体"/>
                <w:sz w:val="18"/>
                <w:szCs w:val="18"/>
              </w:rPr>
              <w:t>冷滤点/ ℃</w:t>
            </w:r>
          </w:p>
        </w:tc>
        <w:tc>
          <w:tcPr>
            <w:tcW w:w="893" w:type="dxa"/>
            <w:tcBorders>
              <w:right w:val="single" w:color="000000" w:sz="4" w:space="0"/>
              <w:tl2br w:val="nil"/>
              <w:tr2bl w:val="nil"/>
            </w:tcBorders>
            <w:shd w:val="clear" w:color="auto" w:fill="FFFFFF" w:themeFill="background1"/>
            <w:vAlign w:val="center"/>
          </w:tcPr>
          <w:p w14:paraId="7CB60588">
            <w:pPr>
              <w:snapToGrid w:val="0"/>
              <w:jc w:val="right"/>
              <w:rPr>
                <w:rFonts w:hint="eastAsia" w:ascii="宋体" w:hAnsi="宋体" w:eastAsia="宋体" w:cs="宋体"/>
                <w:bCs/>
                <w:sz w:val="18"/>
                <w:szCs w:val="18"/>
              </w:rPr>
            </w:pPr>
            <w:r>
              <w:rPr>
                <w:rFonts w:hint="eastAsia" w:ascii="宋体" w:hAnsi="宋体" w:eastAsia="宋体" w:cs="宋体"/>
                <w:sz w:val="18"/>
                <w:szCs w:val="18"/>
              </w:rPr>
              <w:t>不高于</w:t>
            </w:r>
          </w:p>
        </w:tc>
        <w:tc>
          <w:tcPr>
            <w:tcW w:w="116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DFF2472">
            <w:pPr>
              <w:snapToGrid w:val="0"/>
              <w:jc w:val="center"/>
              <w:rPr>
                <w:rFonts w:hint="eastAsia" w:ascii="宋体" w:hAnsi="宋体" w:eastAsia="宋体" w:cs="宋体"/>
                <w:sz w:val="18"/>
                <w:szCs w:val="18"/>
              </w:rPr>
            </w:pPr>
            <w:r>
              <w:rPr>
                <w:rFonts w:hint="eastAsia" w:ascii="宋体" w:hAnsi="宋体" w:eastAsia="宋体" w:cs="宋体"/>
                <w:sz w:val="18"/>
                <w:szCs w:val="18"/>
              </w:rPr>
              <w:t>4</w:t>
            </w:r>
          </w:p>
        </w:tc>
        <w:tc>
          <w:tcPr>
            <w:tcW w:w="1162"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702614C9">
            <w:pPr>
              <w:snapToGrid w:val="0"/>
              <w:jc w:val="center"/>
              <w:rPr>
                <w:rFonts w:hint="eastAsia" w:ascii="宋体" w:hAnsi="宋体" w:eastAsia="宋体" w:cs="宋体"/>
                <w:bCs/>
                <w:sz w:val="18"/>
                <w:szCs w:val="18"/>
              </w:rPr>
            </w:pPr>
            <w:r>
              <w:rPr>
                <w:rFonts w:hint="eastAsia" w:ascii="宋体" w:hAnsi="宋体" w:eastAsia="宋体" w:cs="宋体"/>
                <w:bCs/>
                <w:sz w:val="18"/>
                <w:szCs w:val="18"/>
              </w:rPr>
              <w:t>-29</w:t>
            </w:r>
          </w:p>
        </w:tc>
        <w:tc>
          <w:tcPr>
            <w:tcW w:w="1453" w:type="dxa"/>
            <w:tcBorders>
              <w:left w:val="single" w:color="000000" w:sz="4" w:space="0"/>
              <w:tl2br w:val="nil"/>
              <w:tr2bl w:val="nil"/>
            </w:tcBorders>
            <w:shd w:val="clear" w:color="auto" w:fill="FFFFFF" w:themeFill="background1"/>
            <w:vAlign w:val="center"/>
          </w:tcPr>
          <w:p w14:paraId="7FF84818">
            <w:pPr>
              <w:snapToGrid w:val="0"/>
              <w:jc w:val="center"/>
              <w:rPr>
                <w:rFonts w:hint="eastAsia" w:ascii="宋体" w:hAnsi="宋体" w:eastAsia="宋体" w:cs="宋体"/>
                <w:sz w:val="18"/>
                <w:szCs w:val="18"/>
              </w:rPr>
            </w:pPr>
            <w:r>
              <w:rPr>
                <w:rFonts w:hint="eastAsia" w:ascii="宋体" w:hAnsi="宋体" w:eastAsia="宋体" w:cs="宋体"/>
                <w:bCs/>
                <w:sz w:val="18"/>
                <w:szCs w:val="18"/>
              </w:rPr>
              <w:t>NB/SH/T 0248</w:t>
            </w:r>
          </w:p>
        </w:tc>
      </w:tr>
      <w:tr w14:paraId="63631C38">
        <w:tblPrEx>
          <w:tblBorders>
            <w:top w:val="single" w:color="000000" w:sz="12" w:space="0"/>
            <w:left w:val="single" w:color="000000" w:sz="12" w:space="0"/>
            <w:bottom w:val="single" w:color="000000" w:sz="12" w:space="0"/>
            <w:right w:val="single" w:color="000000" w:sz="12" w:space="0"/>
            <w:insideH w:val="single" w:color="auto" w:sz="4" w:space="0"/>
            <w:insideV w:val="none" w:color="auto" w:sz="0" w:space="0"/>
          </w:tblBorders>
          <w:tblCellMar>
            <w:top w:w="0" w:type="dxa"/>
            <w:left w:w="108" w:type="dxa"/>
            <w:bottom w:w="0" w:type="dxa"/>
            <w:right w:w="108" w:type="dxa"/>
          </w:tblCellMar>
        </w:tblPrEx>
        <w:trPr>
          <w:trHeight w:val="0" w:hRule="atLeast"/>
          <w:jc w:val="center"/>
        </w:trPr>
        <w:tc>
          <w:tcPr>
            <w:tcW w:w="4902" w:type="dxa"/>
            <w:tcBorders>
              <w:tl2br w:val="nil"/>
              <w:tr2bl w:val="nil"/>
            </w:tcBorders>
            <w:shd w:val="clear" w:color="auto" w:fill="FFFFFF" w:themeFill="background1"/>
            <w:vAlign w:val="center"/>
          </w:tcPr>
          <w:p w14:paraId="6613AD27">
            <w:pPr>
              <w:snapToGrid w:val="0"/>
              <w:rPr>
                <w:rFonts w:hint="eastAsia" w:ascii="宋体" w:hAnsi="宋体" w:eastAsia="宋体" w:cs="宋体"/>
                <w:sz w:val="18"/>
                <w:szCs w:val="18"/>
              </w:rPr>
            </w:pPr>
            <w:r>
              <w:rPr>
                <w:rFonts w:hint="eastAsia" w:ascii="宋体" w:hAnsi="宋体" w:eastAsia="宋体" w:cs="宋体"/>
                <w:sz w:val="18"/>
                <w:szCs w:val="18"/>
              </w:rPr>
              <w:t>闪点（闭口）/℃</w:t>
            </w:r>
          </w:p>
        </w:tc>
        <w:tc>
          <w:tcPr>
            <w:tcW w:w="893" w:type="dxa"/>
            <w:tcBorders>
              <w:right w:val="single" w:color="000000" w:sz="4" w:space="0"/>
              <w:tl2br w:val="nil"/>
              <w:tr2bl w:val="nil"/>
            </w:tcBorders>
            <w:shd w:val="clear" w:color="auto" w:fill="FFFFFF" w:themeFill="background1"/>
            <w:vAlign w:val="center"/>
          </w:tcPr>
          <w:p w14:paraId="1BE69427">
            <w:pPr>
              <w:snapToGrid w:val="0"/>
              <w:jc w:val="right"/>
              <w:rPr>
                <w:rFonts w:hint="eastAsia" w:ascii="宋体" w:hAnsi="宋体" w:eastAsia="宋体" w:cs="宋体"/>
                <w:bCs/>
                <w:sz w:val="18"/>
                <w:szCs w:val="18"/>
              </w:rPr>
            </w:pPr>
            <w:r>
              <w:rPr>
                <w:rFonts w:hint="eastAsia" w:ascii="宋体" w:hAnsi="宋体" w:eastAsia="宋体" w:cs="宋体"/>
                <w:sz w:val="18"/>
                <w:szCs w:val="18"/>
              </w:rPr>
              <w:t>不低于</w:t>
            </w:r>
          </w:p>
        </w:tc>
        <w:tc>
          <w:tcPr>
            <w:tcW w:w="116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7CE4D9E">
            <w:pPr>
              <w:snapToGrid w:val="0"/>
              <w:jc w:val="center"/>
              <w:rPr>
                <w:rFonts w:hint="eastAsia" w:ascii="宋体" w:hAnsi="宋体" w:eastAsia="宋体" w:cs="宋体"/>
                <w:sz w:val="18"/>
                <w:szCs w:val="18"/>
              </w:rPr>
            </w:pPr>
            <w:r>
              <w:rPr>
                <w:rFonts w:hint="eastAsia" w:ascii="宋体" w:hAnsi="宋体" w:eastAsia="宋体" w:cs="宋体"/>
                <w:sz w:val="18"/>
                <w:szCs w:val="18"/>
              </w:rPr>
              <w:t>62</w:t>
            </w:r>
          </w:p>
        </w:tc>
        <w:tc>
          <w:tcPr>
            <w:tcW w:w="1162"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4084A21B">
            <w:pPr>
              <w:snapToGrid w:val="0"/>
              <w:jc w:val="center"/>
              <w:rPr>
                <w:rFonts w:hint="eastAsia" w:ascii="宋体" w:hAnsi="宋体" w:eastAsia="宋体" w:cs="宋体"/>
                <w:sz w:val="18"/>
                <w:szCs w:val="18"/>
              </w:rPr>
            </w:pPr>
            <w:r>
              <w:rPr>
                <w:rFonts w:hint="eastAsia" w:ascii="宋体" w:hAnsi="宋体" w:eastAsia="宋体" w:cs="宋体"/>
                <w:sz w:val="18"/>
                <w:szCs w:val="18"/>
              </w:rPr>
              <w:t>52</w:t>
            </w:r>
          </w:p>
        </w:tc>
        <w:tc>
          <w:tcPr>
            <w:tcW w:w="1453" w:type="dxa"/>
            <w:tcBorders>
              <w:left w:val="single" w:color="000000" w:sz="4" w:space="0"/>
              <w:tl2br w:val="nil"/>
              <w:tr2bl w:val="nil"/>
            </w:tcBorders>
            <w:shd w:val="clear" w:color="auto" w:fill="FFFFFF" w:themeFill="background1"/>
            <w:vAlign w:val="center"/>
          </w:tcPr>
          <w:p w14:paraId="3B4BBB74">
            <w:pPr>
              <w:snapToGrid w:val="0"/>
              <w:jc w:val="center"/>
              <w:rPr>
                <w:rFonts w:hint="eastAsia" w:ascii="宋体" w:hAnsi="宋体" w:eastAsia="宋体" w:cs="宋体"/>
                <w:sz w:val="18"/>
                <w:szCs w:val="18"/>
              </w:rPr>
            </w:pPr>
            <w:r>
              <w:rPr>
                <w:rFonts w:hint="eastAsia" w:ascii="宋体" w:hAnsi="宋体" w:eastAsia="宋体" w:cs="宋体"/>
                <w:sz w:val="18"/>
                <w:szCs w:val="18"/>
              </w:rPr>
              <w:t>GB/T 261</w:t>
            </w:r>
          </w:p>
        </w:tc>
      </w:tr>
      <w:tr w14:paraId="14DD4C68">
        <w:tblPrEx>
          <w:tblBorders>
            <w:top w:val="single" w:color="000000" w:sz="12" w:space="0"/>
            <w:left w:val="single" w:color="000000" w:sz="12" w:space="0"/>
            <w:bottom w:val="single" w:color="000000" w:sz="12" w:space="0"/>
            <w:right w:val="single" w:color="000000" w:sz="12" w:space="0"/>
            <w:insideH w:val="single" w:color="auto" w:sz="4" w:space="0"/>
            <w:insideV w:val="none" w:color="auto" w:sz="0" w:space="0"/>
          </w:tblBorders>
          <w:tblCellMar>
            <w:top w:w="0" w:type="dxa"/>
            <w:left w:w="108" w:type="dxa"/>
            <w:bottom w:w="0" w:type="dxa"/>
            <w:right w:w="108" w:type="dxa"/>
          </w:tblCellMar>
        </w:tblPrEx>
        <w:trPr>
          <w:trHeight w:val="0" w:hRule="atLeast"/>
          <w:jc w:val="center"/>
        </w:trPr>
        <w:tc>
          <w:tcPr>
            <w:tcW w:w="4902" w:type="dxa"/>
            <w:tcBorders>
              <w:tl2br w:val="nil"/>
              <w:tr2bl w:val="nil"/>
            </w:tcBorders>
            <w:shd w:val="clear" w:color="auto" w:fill="FFFFFF" w:themeFill="background1"/>
            <w:vAlign w:val="center"/>
          </w:tcPr>
          <w:p w14:paraId="6C3E6A55">
            <w:pPr>
              <w:snapToGrid w:val="0"/>
              <w:rPr>
                <w:rFonts w:hint="eastAsia" w:ascii="宋体" w:hAnsi="宋体" w:eastAsia="宋体" w:cs="宋体"/>
                <w:sz w:val="18"/>
                <w:szCs w:val="18"/>
              </w:rPr>
            </w:pPr>
            <w:r>
              <w:rPr>
                <w:rFonts w:hint="eastAsia" w:ascii="宋体" w:hAnsi="宋体" w:eastAsia="宋体" w:cs="宋体"/>
                <w:sz w:val="18"/>
                <w:szCs w:val="18"/>
              </w:rPr>
              <w:t>十六烷值</w:t>
            </w:r>
          </w:p>
        </w:tc>
        <w:tc>
          <w:tcPr>
            <w:tcW w:w="893" w:type="dxa"/>
            <w:tcBorders>
              <w:right w:val="single" w:color="000000" w:sz="4" w:space="0"/>
              <w:tl2br w:val="nil"/>
              <w:tr2bl w:val="nil"/>
            </w:tcBorders>
            <w:shd w:val="clear" w:color="auto" w:fill="FFFFFF" w:themeFill="background1"/>
            <w:vAlign w:val="center"/>
          </w:tcPr>
          <w:p w14:paraId="31821E7D">
            <w:pPr>
              <w:snapToGrid w:val="0"/>
              <w:jc w:val="right"/>
              <w:rPr>
                <w:rFonts w:hint="eastAsia" w:ascii="宋体" w:hAnsi="宋体" w:eastAsia="宋体" w:cs="宋体"/>
                <w:sz w:val="18"/>
                <w:szCs w:val="18"/>
              </w:rPr>
            </w:pPr>
            <w:r>
              <w:rPr>
                <w:rFonts w:hint="eastAsia" w:ascii="宋体" w:hAnsi="宋体" w:eastAsia="宋体" w:cs="宋体"/>
                <w:bCs/>
                <w:sz w:val="18"/>
                <w:szCs w:val="18"/>
              </w:rPr>
              <w:t>不小于</w:t>
            </w:r>
          </w:p>
        </w:tc>
        <w:tc>
          <w:tcPr>
            <w:tcW w:w="116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7D8728E">
            <w:pPr>
              <w:snapToGrid w:val="0"/>
              <w:jc w:val="center"/>
              <w:rPr>
                <w:rFonts w:hint="eastAsia" w:ascii="宋体" w:hAnsi="宋体" w:eastAsia="宋体" w:cs="宋体"/>
                <w:sz w:val="18"/>
                <w:szCs w:val="18"/>
              </w:rPr>
            </w:pPr>
            <w:r>
              <w:rPr>
                <w:rFonts w:hint="eastAsia" w:ascii="宋体" w:hAnsi="宋体" w:eastAsia="宋体" w:cs="宋体"/>
                <w:sz w:val="18"/>
                <w:szCs w:val="18"/>
              </w:rPr>
              <w:t>51</w:t>
            </w:r>
          </w:p>
        </w:tc>
        <w:tc>
          <w:tcPr>
            <w:tcW w:w="1162"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75AFA6EC">
            <w:pPr>
              <w:snapToGrid w:val="0"/>
              <w:jc w:val="center"/>
              <w:rPr>
                <w:rFonts w:hint="eastAsia" w:ascii="宋体" w:hAnsi="宋体" w:eastAsia="宋体" w:cs="宋体"/>
                <w:sz w:val="18"/>
                <w:szCs w:val="18"/>
              </w:rPr>
            </w:pPr>
            <w:r>
              <w:rPr>
                <w:rFonts w:hint="eastAsia" w:ascii="宋体" w:hAnsi="宋体" w:eastAsia="宋体" w:cs="宋体"/>
                <w:sz w:val="18"/>
                <w:szCs w:val="18"/>
              </w:rPr>
              <w:t>47</w:t>
            </w:r>
          </w:p>
        </w:tc>
        <w:tc>
          <w:tcPr>
            <w:tcW w:w="1453" w:type="dxa"/>
            <w:tcBorders>
              <w:left w:val="single" w:color="000000" w:sz="4" w:space="0"/>
              <w:tl2br w:val="nil"/>
              <w:tr2bl w:val="nil"/>
            </w:tcBorders>
            <w:shd w:val="clear" w:color="auto" w:fill="FFFFFF" w:themeFill="background1"/>
            <w:vAlign w:val="center"/>
          </w:tcPr>
          <w:p w14:paraId="6EA396CE">
            <w:pPr>
              <w:snapToGrid w:val="0"/>
              <w:jc w:val="center"/>
              <w:rPr>
                <w:rFonts w:hint="eastAsia" w:ascii="宋体" w:hAnsi="宋体" w:eastAsia="宋体" w:cs="宋体"/>
                <w:sz w:val="18"/>
                <w:szCs w:val="18"/>
              </w:rPr>
            </w:pPr>
            <w:r>
              <w:rPr>
                <w:rFonts w:hint="eastAsia" w:ascii="宋体" w:hAnsi="宋体" w:eastAsia="宋体" w:cs="宋体"/>
                <w:sz w:val="18"/>
                <w:szCs w:val="18"/>
              </w:rPr>
              <w:t>GB/T 386</w:t>
            </w:r>
          </w:p>
        </w:tc>
      </w:tr>
      <w:tr w14:paraId="6BA2DED6">
        <w:tblPrEx>
          <w:tblBorders>
            <w:top w:val="single" w:color="000000" w:sz="12" w:space="0"/>
            <w:left w:val="single" w:color="000000" w:sz="12" w:space="0"/>
            <w:bottom w:val="single" w:color="000000" w:sz="12" w:space="0"/>
            <w:right w:val="single" w:color="000000" w:sz="12" w:space="0"/>
            <w:insideH w:val="single" w:color="auto" w:sz="4" w:space="0"/>
            <w:insideV w:val="none" w:color="auto" w:sz="0" w:space="0"/>
          </w:tblBorders>
          <w:tblCellMar>
            <w:top w:w="0" w:type="dxa"/>
            <w:left w:w="108" w:type="dxa"/>
            <w:bottom w:w="0" w:type="dxa"/>
            <w:right w:w="108" w:type="dxa"/>
          </w:tblCellMar>
        </w:tblPrEx>
        <w:trPr>
          <w:trHeight w:val="0" w:hRule="atLeast"/>
          <w:jc w:val="center"/>
        </w:trPr>
        <w:tc>
          <w:tcPr>
            <w:tcW w:w="4902" w:type="dxa"/>
            <w:tcBorders>
              <w:tl2br w:val="nil"/>
              <w:tr2bl w:val="nil"/>
            </w:tcBorders>
            <w:shd w:val="clear" w:color="auto" w:fill="FFFFFF" w:themeFill="background1"/>
            <w:vAlign w:val="center"/>
          </w:tcPr>
          <w:p w14:paraId="08C8F718">
            <w:pPr>
              <w:snapToGrid w:val="0"/>
              <w:rPr>
                <w:rFonts w:hint="eastAsia" w:ascii="宋体" w:hAnsi="宋体" w:eastAsia="宋体" w:cs="宋体"/>
                <w:sz w:val="18"/>
                <w:szCs w:val="18"/>
              </w:rPr>
            </w:pPr>
            <w:r>
              <w:rPr>
                <w:rFonts w:hint="eastAsia" w:ascii="宋体" w:hAnsi="宋体" w:eastAsia="宋体" w:cs="宋体"/>
                <w:sz w:val="18"/>
                <w:szCs w:val="18"/>
              </w:rPr>
              <w:t>十六烷值指数</w:t>
            </w:r>
            <w:r>
              <w:rPr>
                <w:rFonts w:hint="eastAsia" w:ascii="宋体" w:hAnsi="宋体" w:eastAsia="宋体" w:cs="宋体"/>
                <w:sz w:val="18"/>
                <w:szCs w:val="18"/>
                <w:vertAlign w:val="superscript"/>
              </w:rPr>
              <w:t>g</w:t>
            </w:r>
          </w:p>
        </w:tc>
        <w:tc>
          <w:tcPr>
            <w:tcW w:w="893" w:type="dxa"/>
            <w:tcBorders>
              <w:right w:val="single" w:color="000000" w:sz="4" w:space="0"/>
              <w:tl2br w:val="nil"/>
              <w:tr2bl w:val="nil"/>
            </w:tcBorders>
            <w:shd w:val="clear" w:color="auto" w:fill="FFFFFF" w:themeFill="background1"/>
            <w:vAlign w:val="center"/>
          </w:tcPr>
          <w:p w14:paraId="20BC07DF">
            <w:pPr>
              <w:snapToGrid w:val="0"/>
              <w:jc w:val="right"/>
              <w:rPr>
                <w:rFonts w:hint="eastAsia" w:ascii="宋体" w:hAnsi="宋体" w:eastAsia="宋体" w:cs="宋体"/>
                <w:sz w:val="18"/>
                <w:szCs w:val="18"/>
              </w:rPr>
            </w:pPr>
            <w:r>
              <w:rPr>
                <w:rFonts w:hint="eastAsia" w:ascii="宋体" w:hAnsi="宋体" w:eastAsia="宋体" w:cs="宋体"/>
                <w:bCs/>
                <w:sz w:val="18"/>
                <w:szCs w:val="18"/>
              </w:rPr>
              <w:t>不小于</w:t>
            </w:r>
          </w:p>
        </w:tc>
        <w:tc>
          <w:tcPr>
            <w:tcW w:w="116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886B9AB">
            <w:pPr>
              <w:snapToGrid w:val="0"/>
              <w:jc w:val="center"/>
              <w:rPr>
                <w:rFonts w:hint="eastAsia" w:ascii="宋体" w:hAnsi="宋体" w:eastAsia="宋体" w:cs="宋体"/>
                <w:sz w:val="18"/>
                <w:szCs w:val="18"/>
              </w:rPr>
            </w:pPr>
            <w:r>
              <w:rPr>
                <w:rFonts w:hint="eastAsia" w:ascii="宋体" w:hAnsi="宋体" w:eastAsia="宋体" w:cs="宋体"/>
                <w:sz w:val="18"/>
                <w:szCs w:val="18"/>
              </w:rPr>
              <w:t>46</w:t>
            </w:r>
          </w:p>
        </w:tc>
        <w:tc>
          <w:tcPr>
            <w:tcW w:w="1162" w:type="dxa"/>
            <w:tcBorders>
              <w:top w:val="single" w:color="000000" w:sz="4" w:space="0"/>
              <w:left w:val="single" w:color="000000" w:sz="4" w:space="0"/>
              <w:bottom w:val="single" w:color="000000" w:sz="4" w:space="0"/>
              <w:right w:val="single" w:color="000000" w:sz="4" w:space="0"/>
            </w:tcBorders>
            <w:shd w:val="clear" w:color="auto" w:fill="FFFFFF" w:themeFill="background1"/>
          </w:tcPr>
          <w:p w14:paraId="138DD627">
            <w:pPr>
              <w:snapToGrid w:val="0"/>
              <w:jc w:val="center"/>
              <w:rPr>
                <w:rFonts w:hint="eastAsia" w:ascii="宋体" w:hAnsi="宋体" w:eastAsia="宋体" w:cs="宋体"/>
                <w:bCs/>
                <w:sz w:val="18"/>
                <w:szCs w:val="18"/>
              </w:rPr>
            </w:pPr>
            <w:r>
              <w:rPr>
                <w:rFonts w:hint="eastAsia" w:ascii="宋体" w:hAnsi="宋体" w:eastAsia="宋体" w:cs="宋体"/>
                <w:bCs/>
                <w:sz w:val="18"/>
                <w:szCs w:val="18"/>
              </w:rPr>
              <w:t>43</w:t>
            </w:r>
          </w:p>
        </w:tc>
        <w:tc>
          <w:tcPr>
            <w:tcW w:w="1453" w:type="dxa"/>
            <w:tcBorders>
              <w:left w:val="single" w:color="000000" w:sz="4" w:space="0"/>
              <w:tl2br w:val="nil"/>
              <w:tr2bl w:val="nil"/>
            </w:tcBorders>
            <w:shd w:val="clear" w:color="auto" w:fill="FFFFFF" w:themeFill="background1"/>
            <w:vAlign w:val="center"/>
          </w:tcPr>
          <w:p w14:paraId="435D4167">
            <w:pPr>
              <w:snapToGrid w:val="0"/>
              <w:jc w:val="center"/>
              <w:rPr>
                <w:rFonts w:hint="eastAsia" w:ascii="宋体" w:hAnsi="宋体" w:eastAsia="宋体" w:cs="宋体"/>
                <w:sz w:val="18"/>
                <w:szCs w:val="18"/>
              </w:rPr>
            </w:pPr>
            <w:r>
              <w:rPr>
                <w:rFonts w:hint="eastAsia" w:ascii="宋体" w:hAnsi="宋体" w:eastAsia="宋体" w:cs="宋体"/>
                <w:bCs/>
                <w:sz w:val="18"/>
                <w:szCs w:val="18"/>
              </w:rPr>
              <w:t>SH/T 0694</w:t>
            </w:r>
          </w:p>
        </w:tc>
      </w:tr>
      <w:tr w14:paraId="11E65287">
        <w:tblPrEx>
          <w:tblBorders>
            <w:top w:val="single" w:color="000000" w:sz="12" w:space="0"/>
            <w:left w:val="single" w:color="000000" w:sz="12" w:space="0"/>
            <w:bottom w:val="single" w:color="000000" w:sz="12" w:space="0"/>
            <w:right w:val="single" w:color="000000" w:sz="12" w:space="0"/>
            <w:insideH w:val="single" w:color="auto" w:sz="4" w:space="0"/>
            <w:insideV w:val="none" w:color="auto" w:sz="0" w:space="0"/>
          </w:tblBorders>
          <w:tblCellMar>
            <w:top w:w="0" w:type="dxa"/>
            <w:left w:w="108" w:type="dxa"/>
            <w:bottom w:w="0" w:type="dxa"/>
            <w:right w:w="108" w:type="dxa"/>
          </w:tblCellMar>
        </w:tblPrEx>
        <w:trPr>
          <w:trHeight w:val="0" w:hRule="atLeast"/>
          <w:jc w:val="center"/>
        </w:trPr>
        <w:tc>
          <w:tcPr>
            <w:tcW w:w="4902" w:type="dxa"/>
            <w:tcBorders>
              <w:tl2br w:val="nil"/>
              <w:tr2bl w:val="nil"/>
            </w:tcBorders>
            <w:shd w:val="clear" w:color="auto" w:fill="FFFFFF" w:themeFill="background1"/>
            <w:vAlign w:val="center"/>
          </w:tcPr>
          <w:p w14:paraId="624BB073">
            <w:pPr>
              <w:snapToGrid w:val="0"/>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馏程</w:t>
            </w:r>
          </w:p>
          <w:p w14:paraId="0CBD1D99">
            <w:pPr>
              <w:snapToGrid w:val="0"/>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50%回收温度/℃</w:t>
            </w:r>
          </w:p>
          <w:p w14:paraId="4E2526AF">
            <w:pPr>
              <w:snapToGrid w:val="0"/>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90%回收温度/℃</w:t>
            </w:r>
          </w:p>
          <w:p w14:paraId="0249F8F2">
            <w:pPr>
              <w:snapToGrid w:val="0"/>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95%回收温度/℃</w:t>
            </w:r>
          </w:p>
        </w:tc>
        <w:tc>
          <w:tcPr>
            <w:tcW w:w="893" w:type="dxa"/>
            <w:tcBorders>
              <w:right w:val="single" w:color="000000" w:sz="4" w:space="0"/>
              <w:tl2br w:val="nil"/>
              <w:tr2bl w:val="nil"/>
            </w:tcBorders>
            <w:shd w:val="clear" w:color="auto" w:fill="FFFFFF" w:themeFill="background1"/>
            <w:vAlign w:val="center"/>
          </w:tcPr>
          <w:p w14:paraId="6AE00892">
            <w:pPr>
              <w:snapToGrid w:val="0"/>
              <w:rPr>
                <w:rFonts w:hint="eastAsia" w:ascii="宋体" w:hAnsi="宋体" w:eastAsia="宋体" w:cs="宋体"/>
                <w:color w:val="000000" w:themeColor="text1"/>
                <w:sz w:val="18"/>
                <w:szCs w:val="18"/>
                <w14:textFill>
                  <w14:solidFill>
                    <w14:schemeClr w14:val="tx1"/>
                  </w14:solidFill>
                </w14:textFill>
              </w:rPr>
            </w:pPr>
          </w:p>
          <w:p w14:paraId="2FB5ACC6">
            <w:pPr>
              <w:snapToGrid w:val="0"/>
              <w:jc w:val="righ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不高于</w:t>
            </w:r>
          </w:p>
          <w:p w14:paraId="67B1E957">
            <w:pPr>
              <w:snapToGrid w:val="0"/>
              <w:jc w:val="righ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不高于</w:t>
            </w:r>
          </w:p>
          <w:p w14:paraId="2F519E66">
            <w:pPr>
              <w:snapToGrid w:val="0"/>
              <w:jc w:val="righ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不高于</w:t>
            </w:r>
          </w:p>
        </w:tc>
        <w:tc>
          <w:tcPr>
            <w:tcW w:w="2322"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bottom"/>
          </w:tcPr>
          <w:p w14:paraId="69368931">
            <w:pPr>
              <w:snapToGrid w:val="0"/>
              <w:rPr>
                <w:rFonts w:hint="eastAsia" w:ascii="宋体" w:hAnsi="宋体" w:eastAsia="宋体" w:cs="宋体"/>
                <w:bCs/>
                <w:color w:val="000000" w:themeColor="text1"/>
                <w:sz w:val="18"/>
                <w:szCs w:val="18"/>
                <w14:textFill>
                  <w14:solidFill>
                    <w14:schemeClr w14:val="tx1"/>
                  </w14:solidFill>
                </w14:textFill>
              </w:rPr>
            </w:pPr>
          </w:p>
          <w:p w14:paraId="6C3A0A58">
            <w:pPr>
              <w:snapToGrid w:val="0"/>
              <w:jc w:val="center"/>
              <w:rPr>
                <w:rFonts w:hint="eastAsia" w:ascii="宋体" w:hAnsi="宋体" w:eastAsia="宋体" w:cs="宋体"/>
                <w:bCs/>
                <w:color w:val="000000" w:themeColor="text1"/>
                <w:sz w:val="18"/>
                <w:szCs w:val="18"/>
                <w14:textFill>
                  <w14:solidFill>
                    <w14:schemeClr w14:val="tx1"/>
                  </w14:solidFill>
                </w14:textFill>
              </w:rPr>
            </w:pPr>
            <w:r>
              <w:rPr>
                <w:rFonts w:hint="eastAsia" w:ascii="宋体" w:hAnsi="宋体" w:eastAsia="宋体" w:cs="宋体"/>
                <w:bCs/>
                <w:color w:val="000000" w:themeColor="text1"/>
                <w:sz w:val="18"/>
                <w:szCs w:val="18"/>
                <w14:textFill>
                  <w14:solidFill>
                    <w14:schemeClr w14:val="tx1"/>
                  </w14:solidFill>
                </w14:textFill>
              </w:rPr>
              <w:t>300</w:t>
            </w:r>
          </w:p>
          <w:p w14:paraId="09ABC13E">
            <w:pPr>
              <w:snapToGrid w:val="0"/>
              <w:jc w:val="center"/>
              <w:rPr>
                <w:rFonts w:hint="eastAsia" w:ascii="宋体" w:hAnsi="宋体" w:eastAsia="宋体" w:cs="宋体"/>
                <w:bCs/>
                <w:color w:val="000000" w:themeColor="text1"/>
                <w:sz w:val="18"/>
                <w:szCs w:val="18"/>
                <w14:textFill>
                  <w14:solidFill>
                    <w14:schemeClr w14:val="tx1"/>
                  </w14:solidFill>
                </w14:textFill>
              </w:rPr>
            </w:pPr>
            <w:r>
              <w:rPr>
                <w:rFonts w:hint="eastAsia" w:ascii="宋体" w:hAnsi="宋体" w:eastAsia="宋体" w:cs="宋体"/>
                <w:bCs/>
                <w:color w:val="000000" w:themeColor="text1"/>
                <w:sz w:val="18"/>
                <w:szCs w:val="18"/>
                <w14:textFill>
                  <w14:solidFill>
                    <w14:schemeClr w14:val="tx1"/>
                  </w14:solidFill>
                </w14:textFill>
              </w:rPr>
              <w:t>355</w:t>
            </w:r>
          </w:p>
          <w:p w14:paraId="1D2110F6">
            <w:pPr>
              <w:snapToGrid w:val="0"/>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bCs/>
                <w:color w:val="000000" w:themeColor="text1"/>
                <w:sz w:val="18"/>
                <w:szCs w:val="18"/>
                <w14:textFill>
                  <w14:solidFill>
                    <w14:schemeClr w14:val="tx1"/>
                  </w14:solidFill>
                </w14:textFill>
              </w:rPr>
              <w:t>365</w:t>
            </w:r>
          </w:p>
        </w:tc>
        <w:tc>
          <w:tcPr>
            <w:tcW w:w="1453" w:type="dxa"/>
            <w:tcBorders>
              <w:left w:val="single" w:color="000000" w:sz="4" w:space="0"/>
              <w:tl2br w:val="nil"/>
              <w:tr2bl w:val="nil"/>
            </w:tcBorders>
            <w:shd w:val="clear" w:color="auto" w:fill="FFFFFF" w:themeFill="background1"/>
            <w:vAlign w:val="center"/>
          </w:tcPr>
          <w:p w14:paraId="18947201">
            <w:pPr>
              <w:snapToGrid w:val="0"/>
              <w:jc w:val="center"/>
              <w:rPr>
                <w:rFonts w:hint="eastAsia" w:ascii="宋体" w:hAnsi="宋体" w:eastAsia="宋体" w:cs="宋体"/>
                <w:sz w:val="18"/>
                <w:szCs w:val="18"/>
              </w:rPr>
            </w:pPr>
            <w:r>
              <w:rPr>
                <w:rFonts w:hint="eastAsia" w:ascii="宋体" w:hAnsi="宋体" w:eastAsia="宋体" w:cs="宋体"/>
                <w:sz w:val="18"/>
                <w:szCs w:val="18"/>
              </w:rPr>
              <w:t>GB/T 6536</w:t>
            </w:r>
          </w:p>
        </w:tc>
      </w:tr>
      <w:tr w14:paraId="51047684">
        <w:tblPrEx>
          <w:tblBorders>
            <w:top w:val="single" w:color="000000" w:sz="12" w:space="0"/>
            <w:left w:val="single" w:color="000000" w:sz="12" w:space="0"/>
            <w:bottom w:val="single" w:color="000000" w:sz="12" w:space="0"/>
            <w:right w:val="single" w:color="000000" w:sz="12" w:space="0"/>
            <w:insideH w:val="single" w:color="auto" w:sz="4" w:space="0"/>
            <w:insideV w:val="none" w:color="auto" w:sz="0" w:space="0"/>
          </w:tblBorders>
          <w:tblCellMar>
            <w:top w:w="0" w:type="dxa"/>
            <w:left w:w="108" w:type="dxa"/>
            <w:bottom w:w="0" w:type="dxa"/>
            <w:right w:w="108" w:type="dxa"/>
          </w:tblCellMar>
        </w:tblPrEx>
        <w:trPr>
          <w:trHeight w:val="0" w:hRule="atLeast"/>
          <w:jc w:val="center"/>
        </w:trPr>
        <w:tc>
          <w:tcPr>
            <w:tcW w:w="5795" w:type="dxa"/>
            <w:gridSpan w:val="2"/>
            <w:tcBorders>
              <w:right w:val="single" w:color="000000" w:sz="4" w:space="0"/>
              <w:tl2br w:val="nil"/>
              <w:tr2bl w:val="nil"/>
            </w:tcBorders>
            <w:shd w:val="clear" w:color="auto" w:fill="FFFFFF" w:themeFill="background1"/>
            <w:vAlign w:val="center"/>
          </w:tcPr>
          <w:p w14:paraId="4BF8C76E">
            <w:pPr>
              <w:snapToGrid w:val="0"/>
              <w:rPr>
                <w:rFonts w:hint="eastAsia" w:ascii="宋体" w:hAnsi="宋体" w:eastAsia="宋体" w:cs="宋体"/>
                <w:bCs/>
                <w:color w:val="000000" w:themeColor="text1"/>
                <w:sz w:val="18"/>
                <w:szCs w:val="18"/>
                <w14:textFill>
                  <w14:solidFill>
                    <w14:schemeClr w14:val="tx1"/>
                  </w14:solidFill>
                </w14:textFill>
              </w:rPr>
            </w:pPr>
            <w:r>
              <w:rPr>
                <w:rFonts w:hint="eastAsia" w:ascii="宋体" w:hAnsi="宋体" w:eastAsia="宋体" w:cs="宋体"/>
                <w:bCs/>
                <w:color w:val="000000" w:themeColor="text1"/>
                <w:sz w:val="18"/>
                <w:szCs w:val="18"/>
                <w14:textFill>
                  <w14:solidFill>
                    <w14:schemeClr w14:val="tx1"/>
                  </w14:solidFill>
                </w14:textFill>
              </w:rPr>
              <w:t>密度</w:t>
            </w:r>
            <w:r>
              <w:rPr>
                <w:rFonts w:hint="eastAsia" w:ascii="宋体" w:hAnsi="宋体" w:eastAsia="宋体" w:cs="宋体"/>
                <w:bCs/>
                <w:color w:val="000000" w:themeColor="text1"/>
                <w:sz w:val="18"/>
                <w:szCs w:val="18"/>
                <w:vertAlign w:val="superscript"/>
                <w14:textFill>
                  <w14:solidFill>
                    <w14:schemeClr w14:val="tx1"/>
                  </w14:solidFill>
                </w14:textFill>
              </w:rPr>
              <w:t>h</w:t>
            </w:r>
            <w:r>
              <w:rPr>
                <w:rFonts w:hint="eastAsia" w:ascii="宋体" w:hAnsi="宋体" w:eastAsia="宋体" w:cs="宋体"/>
                <w:bCs/>
                <w:color w:val="000000" w:themeColor="text1"/>
                <w:sz w:val="18"/>
                <w:szCs w:val="18"/>
                <w14:textFill>
                  <w14:solidFill>
                    <w14:schemeClr w14:val="tx1"/>
                  </w14:solidFill>
                </w14:textFill>
              </w:rPr>
              <w:t>（20</w:t>
            </w:r>
            <w:r>
              <w:rPr>
                <w:rFonts w:hint="eastAsia" w:ascii="宋体" w:hAnsi="宋体" w:eastAsia="宋体" w:cs="宋体"/>
                <w:color w:val="000000" w:themeColor="text1"/>
                <w:sz w:val="18"/>
                <w:szCs w:val="18"/>
                <w14:textFill>
                  <w14:solidFill>
                    <w14:schemeClr w14:val="tx1"/>
                  </w14:solidFill>
                </w14:textFill>
              </w:rPr>
              <w:t xml:space="preserve"> ℃）/（kg/m</w:t>
            </w:r>
            <w:r>
              <w:rPr>
                <w:rFonts w:hint="eastAsia" w:ascii="宋体" w:hAnsi="宋体" w:eastAsia="宋体" w:cs="宋体"/>
                <w:color w:val="000000" w:themeColor="text1"/>
                <w:sz w:val="18"/>
                <w:szCs w:val="18"/>
                <w:vertAlign w:val="superscript"/>
                <w14:textFill>
                  <w14:solidFill>
                    <w14:schemeClr w14:val="tx1"/>
                  </w14:solidFill>
                </w14:textFill>
              </w:rPr>
              <w:t>3</w:t>
            </w:r>
            <w:r>
              <w:rPr>
                <w:rFonts w:hint="eastAsia" w:ascii="宋体" w:hAnsi="宋体" w:eastAsia="宋体" w:cs="宋体"/>
                <w:color w:val="000000" w:themeColor="text1"/>
                <w:sz w:val="18"/>
                <w:szCs w:val="18"/>
                <w14:textFill>
                  <w14:solidFill>
                    <w14:schemeClr w14:val="tx1"/>
                  </w14:solidFill>
                </w14:textFill>
              </w:rPr>
              <w:t>）</w:t>
            </w:r>
          </w:p>
        </w:tc>
        <w:tc>
          <w:tcPr>
            <w:tcW w:w="116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079E41">
            <w:pPr>
              <w:snapToGrid w:val="0"/>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810</w:t>
            </w:r>
            <w:r>
              <w:rPr>
                <w:rFonts w:hint="eastAsia" w:cs="宋体"/>
                <w:color w:val="000000" w:themeColor="text1"/>
                <w:sz w:val="18"/>
                <w:szCs w:val="18"/>
                <w:lang w:val="en-US" w:eastAsia="zh-CN"/>
                <w14:textFill>
                  <w14:solidFill>
                    <w14:schemeClr w14:val="tx1"/>
                  </w14:solidFill>
                </w14:textFill>
              </w:rPr>
              <w:t xml:space="preserve"> </w:t>
            </w:r>
            <w:r>
              <w:rPr>
                <w:rFonts w:hint="default" w:ascii="Times New Roman" w:hAnsi="Times New Roman" w:eastAsia="宋体" w:cs="Times New Roman"/>
                <w:sz w:val="18"/>
                <w:szCs w:val="18"/>
                <w:lang w:val="en-US" w:eastAsia="zh-CN"/>
              </w:rPr>
              <w:t>~</w:t>
            </w:r>
            <w:r>
              <w:rPr>
                <w:rFonts w:hint="eastAsia" w:ascii="Times New Roman" w:hAnsi="Times New Roman" w:cs="Times New Roman"/>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845</w:t>
            </w:r>
          </w:p>
        </w:tc>
        <w:tc>
          <w:tcPr>
            <w:tcW w:w="116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94EEE8B">
            <w:pPr>
              <w:widowControl/>
              <w:snapToGrid w:val="0"/>
              <w:jc w:val="center"/>
              <w:rPr>
                <w:rFonts w:hint="eastAsia"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790</w:t>
            </w:r>
            <w:r>
              <w:rPr>
                <w:rFonts w:hint="eastAsia" w:cs="宋体"/>
                <w:color w:val="000000" w:themeColor="text1"/>
                <w:kern w:val="0"/>
                <w:sz w:val="18"/>
                <w:szCs w:val="18"/>
                <w:lang w:val="en-US" w:eastAsia="zh-CN"/>
                <w14:textFill>
                  <w14:solidFill>
                    <w14:schemeClr w14:val="tx1"/>
                  </w14:solidFill>
                </w14:textFill>
              </w:rPr>
              <w:t xml:space="preserve"> </w:t>
            </w:r>
            <w:r>
              <w:rPr>
                <w:rFonts w:hint="default" w:ascii="Times New Roman" w:hAnsi="Times New Roman" w:eastAsia="宋体" w:cs="Times New Roman"/>
                <w:sz w:val="18"/>
                <w:szCs w:val="18"/>
                <w:lang w:val="en-US" w:eastAsia="zh-CN"/>
              </w:rPr>
              <w:t>~</w:t>
            </w:r>
            <w:r>
              <w:rPr>
                <w:rFonts w:hint="eastAsia" w:cs="宋体"/>
                <w:color w:val="000000" w:themeColor="text1"/>
                <w:kern w:val="0"/>
                <w:sz w:val="18"/>
                <w:szCs w:val="18"/>
                <w:lang w:val="en-US" w:eastAsia="zh-CN"/>
                <w14:textFill>
                  <w14:solidFill>
                    <w14:schemeClr w14:val="tx1"/>
                  </w14:solidFill>
                </w14:textFill>
              </w:rPr>
              <w:t xml:space="preserve"> </w:t>
            </w:r>
            <w:r>
              <w:rPr>
                <w:rFonts w:hint="eastAsia" w:ascii="宋体" w:hAnsi="宋体" w:eastAsia="宋体" w:cs="宋体"/>
                <w:color w:val="000000" w:themeColor="text1"/>
                <w:kern w:val="0"/>
                <w:sz w:val="18"/>
                <w:szCs w:val="18"/>
                <w14:textFill>
                  <w14:solidFill>
                    <w14:schemeClr w14:val="tx1"/>
                  </w14:solidFill>
                </w14:textFill>
              </w:rPr>
              <w:t>40</w:t>
            </w:r>
          </w:p>
        </w:tc>
        <w:tc>
          <w:tcPr>
            <w:tcW w:w="1453" w:type="dxa"/>
            <w:tcBorders>
              <w:left w:val="single" w:color="000000" w:sz="4" w:space="0"/>
              <w:tl2br w:val="nil"/>
              <w:tr2bl w:val="nil"/>
            </w:tcBorders>
            <w:shd w:val="clear" w:color="auto" w:fill="FFFFFF" w:themeFill="background1"/>
            <w:vAlign w:val="center"/>
          </w:tcPr>
          <w:p w14:paraId="0422168D">
            <w:pPr>
              <w:widowControl/>
              <w:snapToGrid w:val="0"/>
              <w:jc w:val="center"/>
              <w:rPr>
                <w:rFonts w:hint="eastAsia" w:ascii="宋体" w:hAnsi="宋体" w:eastAsia="宋体" w:cs="宋体"/>
                <w:kern w:val="0"/>
                <w:sz w:val="18"/>
                <w:szCs w:val="18"/>
              </w:rPr>
            </w:pPr>
            <w:r>
              <w:rPr>
                <w:rFonts w:hint="eastAsia" w:ascii="宋体" w:hAnsi="宋体" w:eastAsia="宋体" w:cs="宋体"/>
                <w:kern w:val="0"/>
                <w:sz w:val="18"/>
                <w:szCs w:val="18"/>
              </w:rPr>
              <w:t>GB/T 1884</w:t>
            </w:r>
          </w:p>
          <w:p w14:paraId="2AC7E0B6">
            <w:pPr>
              <w:snapToGrid w:val="0"/>
              <w:jc w:val="center"/>
              <w:rPr>
                <w:rFonts w:hint="eastAsia" w:ascii="宋体" w:hAnsi="宋体" w:eastAsia="宋体" w:cs="宋体"/>
                <w:bCs/>
                <w:sz w:val="18"/>
                <w:szCs w:val="18"/>
              </w:rPr>
            </w:pPr>
            <w:r>
              <w:rPr>
                <w:rFonts w:hint="eastAsia" w:ascii="宋体" w:hAnsi="宋体" w:eastAsia="宋体" w:cs="宋体"/>
                <w:kern w:val="0"/>
                <w:sz w:val="18"/>
                <w:szCs w:val="18"/>
              </w:rPr>
              <w:t>GB/T 1885</w:t>
            </w:r>
          </w:p>
        </w:tc>
      </w:tr>
      <w:tr w14:paraId="616E420F">
        <w:tblPrEx>
          <w:tblBorders>
            <w:top w:val="single" w:color="000000" w:sz="12" w:space="0"/>
            <w:left w:val="single" w:color="000000" w:sz="12" w:space="0"/>
            <w:bottom w:val="single" w:color="000000" w:sz="12" w:space="0"/>
            <w:right w:val="single" w:color="000000" w:sz="12" w:space="0"/>
            <w:insideH w:val="single" w:color="auto" w:sz="4" w:space="0"/>
            <w:insideV w:val="none" w:color="auto" w:sz="0" w:space="0"/>
          </w:tblBorders>
          <w:tblCellMar>
            <w:top w:w="0" w:type="dxa"/>
            <w:left w:w="108" w:type="dxa"/>
            <w:bottom w:w="0" w:type="dxa"/>
            <w:right w:w="108" w:type="dxa"/>
          </w:tblCellMar>
        </w:tblPrEx>
        <w:trPr>
          <w:trHeight w:val="0" w:hRule="atLeast"/>
          <w:jc w:val="center"/>
        </w:trPr>
        <w:tc>
          <w:tcPr>
            <w:tcW w:w="4902" w:type="dxa"/>
            <w:tcBorders>
              <w:tl2br w:val="nil"/>
              <w:tr2bl w:val="nil"/>
            </w:tcBorders>
            <w:shd w:val="clear" w:color="auto" w:fill="FFFFFF" w:themeFill="background1"/>
            <w:vAlign w:val="center"/>
          </w:tcPr>
          <w:p w14:paraId="1660C741">
            <w:pPr>
              <w:snapToGrid w:val="0"/>
              <w:rPr>
                <w:rFonts w:hint="eastAsia" w:ascii="宋体" w:hAnsi="宋体" w:eastAsia="宋体" w:cs="宋体"/>
                <w:bCs/>
                <w:sz w:val="18"/>
                <w:szCs w:val="18"/>
              </w:rPr>
            </w:pPr>
            <w:r>
              <w:rPr>
                <w:rFonts w:hint="eastAsia" w:ascii="宋体" w:hAnsi="宋体" w:eastAsia="宋体" w:cs="宋体"/>
                <w:bCs/>
                <w:sz w:val="18"/>
                <w:szCs w:val="18"/>
              </w:rPr>
              <w:t>脂肪酸甲酯含量</w:t>
            </w:r>
            <w:r>
              <w:rPr>
                <w:rFonts w:hint="eastAsia" w:ascii="宋体" w:hAnsi="宋体" w:eastAsia="宋体" w:cs="宋体"/>
                <w:bCs/>
                <w:sz w:val="18"/>
                <w:szCs w:val="18"/>
                <w:vertAlign w:val="superscript"/>
              </w:rPr>
              <w:t>i</w:t>
            </w:r>
            <w:r>
              <w:rPr>
                <w:rFonts w:hint="eastAsia" w:ascii="宋体" w:hAnsi="宋体" w:eastAsia="宋体" w:cs="宋体"/>
                <w:bCs/>
                <w:sz w:val="18"/>
                <w:szCs w:val="18"/>
              </w:rPr>
              <w:t>（体积分数）/%</w:t>
            </w:r>
          </w:p>
        </w:tc>
        <w:tc>
          <w:tcPr>
            <w:tcW w:w="893" w:type="dxa"/>
            <w:tcBorders>
              <w:right w:val="single" w:color="000000" w:sz="4" w:space="0"/>
              <w:tl2br w:val="nil"/>
              <w:tr2bl w:val="nil"/>
            </w:tcBorders>
            <w:shd w:val="clear" w:color="auto" w:fill="FFFFFF" w:themeFill="background1"/>
            <w:vAlign w:val="center"/>
          </w:tcPr>
          <w:p w14:paraId="19C8B6EC">
            <w:pPr>
              <w:snapToGrid w:val="0"/>
              <w:jc w:val="right"/>
              <w:rPr>
                <w:rFonts w:hint="eastAsia" w:ascii="宋体" w:hAnsi="宋体" w:eastAsia="宋体" w:cs="宋体"/>
                <w:bCs/>
                <w:sz w:val="18"/>
                <w:szCs w:val="18"/>
              </w:rPr>
            </w:pPr>
            <w:r>
              <w:rPr>
                <w:rFonts w:hint="eastAsia" w:ascii="宋体" w:hAnsi="宋体" w:eastAsia="宋体" w:cs="宋体"/>
                <w:bCs/>
                <w:sz w:val="18"/>
                <w:szCs w:val="18"/>
              </w:rPr>
              <w:t>不大于</w:t>
            </w:r>
          </w:p>
        </w:tc>
        <w:tc>
          <w:tcPr>
            <w:tcW w:w="2322" w:type="dxa"/>
            <w:gridSpan w:val="2"/>
            <w:tcBorders>
              <w:top w:val="single" w:color="000000" w:sz="4" w:space="0"/>
              <w:left w:val="single" w:color="000000" w:sz="4" w:space="0"/>
              <w:right w:val="single" w:color="000000" w:sz="4" w:space="0"/>
            </w:tcBorders>
            <w:shd w:val="clear" w:color="auto" w:fill="FFFFFF" w:themeFill="background1"/>
            <w:vAlign w:val="center"/>
          </w:tcPr>
          <w:p w14:paraId="441E38F3">
            <w:pPr>
              <w:widowControl/>
              <w:snapToGrid w:val="0"/>
              <w:jc w:val="center"/>
              <w:rPr>
                <w:rFonts w:hint="eastAsia" w:ascii="宋体" w:hAnsi="宋体" w:eastAsia="宋体" w:cs="宋体"/>
                <w:sz w:val="18"/>
                <w:szCs w:val="18"/>
              </w:rPr>
            </w:pPr>
            <w:r>
              <w:rPr>
                <w:rFonts w:hint="eastAsia" w:ascii="宋体" w:hAnsi="宋体" w:eastAsia="宋体" w:cs="宋体"/>
                <w:sz w:val="18"/>
                <w:szCs w:val="18"/>
              </w:rPr>
              <w:t>1.0</w:t>
            </w:r>
          </w:p>
        </w:tc>
        <w:tc>
          <w:tcPr>
            <w:tcW w:w="1453" w:type="dxa"/>
            <w:tcBorders>
              <w:left w:val="single" w:color="000000" w:sz="4" w:space="0"/>
              <w:tl2br w:val="nil"/>
              <w:tr2bl w:val="nil"/>
            </w:tcBorders>
            <w:shd w:val="clear" w:color="auto" w:fill="FFFFFF" w:themeFill="background1"/>
            <w:vAlign w:val="center"/>
          </w:tcPr>
          <w:p w14:paraId="567BAB7A">
            <w:pPr>
              <w:widowControl/>
              <w:snapToGrid w:val="0"/>
              <w:jc w:val="center"/>
              <w:rPr>
                <w:rFonts w:hint="eastAsia" w:ascii="宋体" w:hAnsi="宋体" w:eastAsia="宋体" w:cs="宋体"/>
                <w:kern w:val="0"/>
                <w:sz w:val="18"/>
                <w:szCs w:val="18"/>
              </w:rPr>
            </w:pPr>
            <w:r>
              <w:rPr>
                <w:rFonts w:hint="eastAsia" w:ascii="宋体" w:hAnsi="宋体" w:eastAsia="宋体" w:cs="宋体"/>
                <w:kern w:val="0"/>
                <w:sz w:val="18"/>
                <w:szCs w:val="18"/>
              </w:rPr>
              <w:t>NB/SH/T 0916</w:t>
            </w:r>
          </w:p>
        </w:tc>
      </w:tr>
      <w:tr w14:paraId="19F13D94">
        <w:tblPrEx>
          <w:tblBorders>
            <w:top w:val="single" w:color="000000" w:sz="12" w:space="0"/>
            <w:left w:val="single" w:color="000000" w:sz="12" w:space="0"/>
            <w:bottom w:val="single" w:color="000000" w:sz="12" w:space="0"/>
            <w:right w:val="single" w:color="000000" w:sz="12" w:space="0"/>
            <w:insideH w:val="single" w:color="auto" w:sz="4" w:space="0"/>
            <w:insideV w:val="none" w:color="auto" w:sz="0" w:space="0"/>
          </w:tblBorders>
          <w:tblCellMar>
            <w:top w:w="0" w:type="dxa"/>
            <w:left w:w="108" w:type="dxa"/>
            <w:bottom w:w="0" w:type="dxa"/>
            <w:right w:w="108" w:type="dxa"/>
          </w:tblCellMar>
        </w:tblPrEx>
        <w:trPr>
          <w:trHeight w:val="0" w:hRule="atLeast"/>
          <w:jc w:val="center"/>
        </w:trPr>
        <w:tc>
          <w:tcPr>
            <w:tcW w:w="9570" w:type="dxa"/>
            <w:gridSpan w:val="5"/>
            <w:tcBorders>
              <w:tl2br w:val="nil"/>
              <w:tr2bl w:val="nil"/>
            </w:tcBorders>
            <w:shd w:val="clear" w:color="auto" w:fill="FFFFFF" w:themeFill="background1"/>
          </w:tcPr>
          <w:p w14:paraId="5F4D03B5">
            <w:pPr>
              <w:widowControl/>
              <w:snapToGrid w:val="0"/>
              <w:spacing w:line="360" w:lineRule="auto"/>
              <w:ind w:left="600" w:leftChars="200" w:hanging="180" w:hangingChars="100"/>
              <w:rPr>
                <w:rFonts w:hint="eastAsia" w:ascii="宋体" w:hAnsi="宋体" w:eastAsia="宋体" w:cs="宋体"/>
                <w:kern w:val="0"/>
                <w:sz w:val="18"/>
                <w:szCs w:val="18"/>
              </w:rPr>
            </w:pPr>
            <w:r>
              <w:rPr>
                <w:rFonts w:hint="eastAsia" w:ascii="宋体" w:hAnsi="宋体" w:eastAsia="宋体" w:cs="宋体"/>
                <w:kern w:val="0"/>
                <w:sz w:val="18"/>
                <w:szCs w:val="18"/>
                <w:vertAlign w:val="superscript"/>
              </w:rPr>
              <w:t xml:space="preserve">a  </w:t>
            </w:r>
            <w:r>
              <w:rPr>
                <w:rFonts w:hint="eastAsia" w:ascii="宋体" w:hAnsi="宋体" w:eastAsia="宋体" w:cs="宋体"/>
                <w:kern w:val="0"/>
                <w:sz w:val="18"/>
                <w:szCs w:val="18"/>
              </w:rPr>
              <w:t>也可采用GB/T 11140</w:t>
            </w:r>
            <w:r>
              <w:rPr>
                <w:rFonts w:hint="eastAsia" w:ascii="宋体" w:hAnsi="宋体" w:eastAsia="宋体" w:cs="宋体"/>
                <w:kern w:val="0"/>
                <w:sz w:val="18"/>
                <w:szCs w:val="18"/>
                <w:lang w:val="en-US" w:eastAsia="zh-CN"/>
              </w:rPr>
              <w:t>和ASTM D7039</w:t>
            </w:r>
            <w:r>
              <w:rPr>
                <w:rFonts w:hint="eastAsia" w:ascii="宋体" w:hAnsi="宋体" w:eastAsia="宋体" w:cs="宋体"/>
                <w:kern w:val="0"/>
                <w:sz w:val="18"/>
                <w:szCs w:val="18"/>
              </w:rPr>
              <w:t>进行测定，结果有异议时，以SH/T 0689方法为准。</w:t>
            </w:r>
          </w:p>
          <w:p w14:paraId="23D5D39D">
            <w:pPr>
              <w:widowControl/>
              <w:snapToGrid w:val="0"/>
              <w:spacing w:line="360" w:lineRule="auto"/>
              <w:ind w:left="600" w:leftChars="200" w:hanging="180" w:hangingChars="100"/>
              <w:rPr>
                <w:rFonts w:hint="eastAsia" w:ascii="宋体" w:hAnsi="宋体" w:eastAsia="宋体" w:cs="宋体"/>
                <w:kern w:val="0"/>
                <w:sz w:val="18"/>
                <w:szCs w:val="18"/>
                <w:vertAlign w:val="superscript"/>
              </w:rPr>
            </w:pPr>
            <w:r>
              <w:rPr>
                <w:rFonts w:hint="eastAsia" w:ascii="宋体" w:hAnsi="宋体" w:eastAsia="宋体" w:cs="宋体"/>
                <w:kern w:val="0"/>
                <w:sz w:val="18"/>
                <w:szCs w:val="18"/>
                <w:vertAlign w:val="superscript"/>
              </w:rPr>
              <w:t xml:space="preserve">b  </w:t>
            </w:r>
            <w:r>
              <w:rPr>
                <w:rFonts w:hint="eastAsia" w:ascii="宋体" w:hAnsi="宋体" w:eastAsia="宋体" w:cs="宋体"/>
                <w:kern w:val="0"/>
                <w:sz w:val="18"/>
                <w:szCs w:val="18"/>
              </w:rPr>
              <w:t>经过</w:t>
            </w:r>
            <w:r>
              <w:rPr>
                <w:rFonts w:hint="eastAsia" w:ascii="宋体" w:hAnsi="宋体" w:eastAsia="宋体" w:cs="宋体"/>
                <w:sz w:val="18"/>
                <w:szCs w:val="18"/>
              </w:rPr>
              <w:t>ASTM D5304测试后所得油品进行酸度测试。</w:t>
            </w:r>
          </w:p>
          <w:p w14:paraId="28942B32">
            <w:pPr>
              <w:widowControl/>
              <w:snapToGrid w:val="0"/>
              <w:spacing w:line="360" w:lineRule="auto"/>
              <w:ind w:left="600" w:leftChars="200" w:hanging="180" w:hangingChars="100"/>
              <w:rPr>
                <w:rFonts w:hint="eastAsia" w:ascii="宋体" w:hAnsi="宋体" w:eastAsia="宋体" w:cs="宋体"/>
                <w:kern w:val="0"/>
                <w:sz w:val="18"/>
                <w:szCs w:val="18"/>
              </w:rPr>
            </w:pPr>
            <w:r>
              <w:rPr>
                <w:rFonts w:hint="eastAsia" w:ascii="宋体" w:hAnsi="宋体" w:eastAsia="宋体" w:cs="宋体"/>
                <w:kern w:val="0"/>
                <w:sz w:val="18"/>
                <w:szCs w:val="18"/>
                <w:vertAlign w:val="superscript"/>
              </w:rPr>
              <w:t xml:space="preserve">c  </w:t>
            </w:r>
            <w:r>
              <w:rPr>
                <w:rFonts w:hint="eastAsia" w:ascii="宋体" w:hAnsi="宋体" w:eastAsia="宋体" w:cs="宋体"/>
                <w:kern w:val="0"/>
                <w:sz w:val="18"/>
                <w:szCs w:val="18"/>
              </w:rPr>
              <w:t>也可采用GB/T 268进行测定，结果有异议时，以GB/T 17144方法为准。若应急柴油发电机组用抗氧化燃料中含有硝酸酯型十六烷值改进剂，10%蒸余物残炭的测定应使用不含加硝酸酯的基础燃料进行。</w:t>
            </w:r>
            <w:r>
              <w:rPr>
                <w:rFonts w:hint="eastAsia" w:cs="宋体"/>
                <w:kern w:val="0"/>
                <w:sz w:val="18"/>
                <w:szCs w:val="18"/>
                <w:lang w:eastAsia="zh-CN"/>
              </w:rPr>
              <w:t>应急柴油发电机组用抗氧化燃料</w:t>
            </w:r>
            <w:r>
              <w:rPr>
                <w:rFonts w:hint="eastAsia" w:ascii="宋体" w:hAnsi="宋体" w:eastAsia="宋体" w:cs="宋体"/>
                <w:kern w:val="0"/>
                <w:sz w:val="18"/>
                <w:szCs w:val="18"/>
              </w:rPr>
              <w:t>中是否含有硝酸酯型十六烷值改进剂的检验方法按照GB</w:t>
            </w:r>
            <w:r>
              <w:rPr>
                <w:rFonts w:hint="eastAsia" w:cs="宋体"/>
                <w:kern w:val="0"/>
                <w:sz w:val="18"/>
                <w:szCs w:val="18"/>
                <w:lang w:val="en-US" w:eastAsia="zh-CN"/>
              </w:rPr>
              <w:t xml:space="preserve"> </w:t>
            </w:r>
            <w:r>
              <w:rPr>
                <w:rFonts w:hint="eastAsia" w:ascii="宋体" w:hAnsi="宋体" w:eastAsia="宋体" w:cs="宋体"/>
                <w:kern w:val="0"/>
                <w:sz w:val="18"/>
                <w:szCs w:val="18"/>
              </w:rPr>
              <w:t>19147-2016车用柴油附录B的要求检验。</w:t>
            </w:r>
          </w:p>
          <w:p w14:paraId="5749DAFB">
            <w:pPr>
              <w:widowControl/>
              <w:snapToGrid w:val="0"/>
              <w:spacing w:line="360" w:lineRule="auto"/>
              <w:ind w:left="600" w:leftChars="200" w:hanging="180" w:hangingChars="100"/>
              <w:rPr>
                <w:rFonts w:hint="eastAsia" w:ascii="宋体" w:hAnsi="宋体" w:eastAsia="宋体" w:cs="宋体"/>
                <w:kern w:val="0"/>
                <w:sz w:val="18"/>
                <w:szCs w:val="18"/>
              </w:rPr>
            </w:pPr>
            <w:r>
              <w:rPr>
                <w:rFonts w:hint="eastAsia" w:ascii="宋体" w:hAnsi="宋体" w:eastAsia="宋体" w:cs="宋体"/>
                <w:kern w:val="0"/>
                <w:sz w:val="18"/>
                <w:szCs w:val="18"/>
                <w:vertAlign w:val="superscript"/>
              </w:rPr>
              <w:t xml:space="preserve">d  </w:t>
            </w:r>
            <w:r>
              <w:rPr>
                <w:rFonts w:hint="eastAsia" w:ascii="宋体" w:hAnsi="宋体" w:eastAsia="宋体" w:cs="宋体"/>
                <w:kern w:val="0"/>
                <w:sz w:val="18"/>
                <w:szCs w:val="18"/>
              </w:rPr>
              <w:t>可用目测法，即将试样注入100 mL 玻璃量筒中，在室温（20℃ ± 5 ℃）下观察，应当透明，没有悬浮和沉降的水分。也可采用GB/T 11133和SH/T 0246测定，结果有异议时，以GB/T 260方法为准。</w:t>
            </w:r>
          </w:p>
          <w:p w14:paraId="4762A367">
            <w:pPr>
              <w:widowControl/>
              <w:snapToGrid w:val="0"/>
              <w:spacing w:line="360" w:lineRule="auto"/>
              <w:ind w:left="600" w:leftChars="200" w:hanging="180" w:hangingChars="100"/>
              <w:rPr>
                <w:rFonts w:hint="eastAsia" w:ascii="宋体" w:hAnsi="宋体" w:eastAsia="宋体" w:cs="宋体"/>
                <w:kern w:val="0"/>
                <w:sz w:val="18"/>
                <w:szCs w:val="18"/>
              </w:rPr>
            </w:pPr>
            <w:r>
              <w:rPr>
                <w:rFonts w:hint="eastAsia" w:ascii="宋体" w:hAnsi="宋体" w:eastAsia="宋体" w:cs="宋体"/>
                <w:kern w:val="0"/>
                <w:sz w:val="18"/>
                <w:szCs w:val="18"/>
                <w:vertAlign w:val="superscript"/>
              </w:rPr>
              <w:t>e</w:t>
            </w:r>
            <w:r>
              <w:rPr>
                <w:rFonts w:hint="eastAsia" w:ascii="宋体" w:hAnsi="宋体" w:eastAsia="宋体" w:cs="宋体"/>
                <w:kern w:val="0"/>
                <w:sz w:val="18"/>
                <w:szCs w:val="18"/>
              </w:rPr>
              <w:t xml:space="preserve"> 也可采用NB/SH/T 0606进行测定，结果有异议时，以NB/SH/T 0806方法为准。</w:t>
            </w:r>
          </w:p>
          <w:p w14:paraId="2E23868D">
            <w:pPr>
              <w:widowControl/>
              <w:snapToGrid w:val="0"/>
              <w:spacing w:line="360" w:lineRule="auto"/>
              <w:ind w:left="780" w:leftChars="200" w:hanging="360" w:hangingChars="200"/>
              <w:rPr>
                <w:rFonts w:hint="eastAsia" w:ascii="宋体" w:hAnsi="宋体" w:eastAsia="宋体" w:cs="宋体"/>
                <w:kern w:val="0"/>
                <w:sz w:val="18"/>
                <w:szCs w:val="18"/>
              </w:rPr>
            </w:pPr>
            <w:r>
              <w:rPr>
                <w:rFonts w:hint="eastAsia" w:ascii="宋体" w:hAnsi="宋体" w:eastAsia="宋体" w:cs="宋体"/>
                <w:kern w:val="0"/>
                <w:sz w:val="18"/>
                <w:szCs w:val="18"/>
                <w:vertAlign w:val="superscript"/>
              </w:rPr>
              <w:t xml:space="preserve">f  </w:t>
            </w:r>
            <w:r>
              <w:rPr>
                <w:rFonts w:hint="eastAsia" w:ascii="宋体" w:hAnsi="宋体" w:eastAsia="宋体" w:cs="宋体"/>
                <w:kern w:val="0"/>
                <w:sz w:val="18"/>
                <w:szCs w:val="18"/>
              </w:rPr>
              <w:t>也可采用GB/T 30515进行测定，结果有异议时，以GB/T 265方法为准。</w:t>
            </w:r>
          </w:p>
          <w:p w14:paraId="23EDAAC9">
            <w:pPr>
              <w:widowControl/>
              <w:snapToGrid w:val="0"/>
              <w:spacing w:line="360" w:lineRule="auto"/>
              <w:ind w:left="600" w:leftChars="200" w:hanging="180" w:hangingChars="100"/>
              <w:rPr>
                <w:rFonts w:hint="eastAsia" w:ascii="宋体" w:hAnsi="宋体" w:eastAsia="宋体" w:cs="宋体"/>
                <w:kern w:val="0"/>
                <w:sz w:val="18"/>
                <w:szCs w:val="18"/>
              </w:rPr>
            </w:pPr>
            <w:r>
              <w:rPr>
                <w:rFonts w:hint="eastAsia" w:ascii="宋体" w:hAnsi="宋体" w:eastAsia="宋体" w:cs="宋体"/>
                <w:kern w:val="0"/>
                <w:sz w:val="18"/>
                <w:szCs w:val="18"/>
                <w:vertAlign w:val="superscript"/>
              </w:rPr>
              <w:t xml:space="preserve">g  </w:t>
            </w:r>
            <w:r>
              <w:rPr>
                <w:rFonts w:hint="eastAsia" w:ascii="宋体" w:hAnsi="宋体" w:eastAsia="宋体" w:cs="宋体"/>
                <w:kern w:val="0"/>
                <w:sz w:val="18"/>
                <w:szCs w:val="18"/>
              </w:rPr>
              <w:t>十六烷值指数的计算也可采用GB/T 11139。结果有异议时，以SH/T 0694方法为准。</w:t>
            </w:r>
          </w:p>
          <w:p w14:paraId="6FBDB982">
            <w:pPr>
              <w:widowControl/>
              <w:snapToGrid w:val="0"/>
              <w:spacing w:line="360" w:lineRule="auto"/>
              <w:ind w:left="600" w:leftChars="200" w:hanging="180" w:hangingChars="100"/>
              <w:rPr>
                <w:rFonts w:hint="eastAsia" w:ascii="宋体" w:hAnsi="宋体" w:eastAsia="宋体" w:cs="宋体"/>
                <w:kern w:val="0"/>
                <w:sz w:val="18"/>
                <w:szCs w:val="18"/>
              </w:rPr>
            </w:pPr>
            <w:r>
              <w:rPr>
                <w:rFonts w:hint="eastAsia" w:ascii="宋体" w:hAnsi="宋体" w:eastAsia="宋体" w:cs="宋体"/>
                <w:kern w:val="0"/>
                <w:sz w:val="18"/>
                <w:szCs w:val="18"/>
                <w:vertAlign w:val="superscript"/>
              </w:rPr>
              <w:t xml:space="preserve">h  </w:t>
            </w:r>
            <w:r>
              <w:rPr>
                <w:rFonts w:hint="eastAsia" w:ascii="宋体" w:hAnsi="宋体" w:eastAsia="宋体" w:cs="宋体"/>
                <w:kern w:val="0"/>
                <w:sz w:val="18"/>
                <w:szCs w:val="18"/>
              </w:rPr>
              <w:t>也可采用SH/T 0604进行测定，结果有异议时，以GB/T 1884和GB/T 1885方法为准。</w:t>
            </w:r>
          </w:p>
          <w:p w14:paraId="5C829DEC">
            <w:pPr>
              <w:widowControl/>
              <w:snapToGrid w:val="0"/>
              <w:spacing w:line="360" w:lineRule="auto"/>
              <w:ind w:left="600" w:leftChars="200" w:hanging="180" w:hangingChars="100"/>
              <w:rPr>
                <w:rFonts w:hint="eastAsia" w:ascii="宋体" w:hAnsi="宋体" w:eastAsia="宋体" w:cs="宋体"/>
                <w:kern w:val="0"/>
                <w:sz w:val="18"/>
                <w:szCs w:val="18"/>
                <w:vertAlign w:val="superscript"/>
              </w:rPr>
            </w:pPr>
            <w:r>
              <w:rPr>
                <w:rFonts w:hint="eastAsia" w:ascii="宋体" w:hAnsi="宋体" w:eastAsia="宋体" w:cs="宋体"/>
                <w:kern w:val="0"/>
                <w:sz w:val="18"/>
                <w:szCs w:val="18"/>
                <w:vertAlign w:val="superscript"/>
              </w:rPr>
              <w:t xml:space="preserve">i  </w:t>
            </w:r>
            <w:r>
              <w:rPr>
                <w:rFonts w:hint="eastAsia" w:ascii="宋体" w:hAnsi="宋体" w:eastAsia="宋体" w:cs="宋体"/>
                <w:kern w:val="0"/>
                <w:sz w:val="18"/>
                <w:szCs w:val="18"/>
              </w:rPr>
              <w:t>脂肪酸甲酯应当满足GB/T 20828要求。也可采用GB/T 23801进行测定，结果有异议时，以NB/SH/T 0916方法为准。</w:t>
            </w:r>
          </w:p>
        </w:tc>
      </w:tr>
    </w:tbl>
    <w:p w14:paraId="41346178">
      <w:pPr>
        <w:pStyle w:val="24"/>
        <w:ind w:firstLine="420"/>
        <w:rPr>
          <w:rFonts w:hint="eastAsia" w:ascii="宋体" w:hAnsi="宋体" w:eastAsia="宋体" w:cs="Times New Roman"/>
        </w:rPr>
      </w:pPr>
    </w:p>
    <w:p w14:paraId="673A9180">
      <w:pPr>
        <w:pStyle w:val="24"/>
        <w:ind w:left="0" w:leftChars="0" w:firstLine="0" w:firstLineChars="0"/>
        <w:rPr>
          <w:rFonts w:hint="eastAsia" w:ascii="宋体" w:hAnsi="宋体" w:eastAsia="宋体" w:cs="Times New Roman"/>
        </w:rPr>
      </w:pPr>
      <w:r>
        <w:rPr>
          <w:rFonts w:hint="eastAsia" w:ascii="宋体" w:hAnsi="宋体" w:eastAsia="宋体" w:cs="Times New Roman"/>
        </w:rPr>
        <w:t>5.3　推荐使用苯胺类抗氧剂增强燃料储存稳定性和氧化安定性。</w:t>
      </w:r>
    </w:p>
    <w:p w14:paraId="3988F2F3">
      <w:pPr>
        <w:rPr>
          <w:rFonts w:hint="eastAsia" w:cs="Times New Roman"/>
          <w:lang w:val="en-US" w:eastAsia="zh-CN"/>
        </w:rPr>
      </w:pPr>
      <w:r>
        <w:rPr>
          <w:rFonts w:hint="eastAsia" w:cs="Times New Roman"/>
          <w:lang w:val="en-US" w:eastAsia="zh-CN"/>
        </w:rPr>
        <w:br w:type="page"/>
      </w:r>
    </w:p>
    <w:p w14:paraId="37E40143">
      <w:pPr>
        <w:pStyle w:val="38"/>
        <w:rPr>
          <w:rFonts w:hint="default" w:cs="Times New Roman"/>
        </w:rPr>
      </w:pPr>
      <w:bookmarkStart w:id="18" w:name="_Toc538"/>
      <w:r>
        <w:rPr>
          <w:rFonts w:hint="eastAsia" w:cs="Times New Roman"/>
          <w:lang w:val="en-US" w:eastAsia="zh-CN"/>
        </w:rPr>
        <w:t>6</w:t>
      </w:r>
      <w:r>
        <w:rPr>
          <w:rFonts w:hint="eastAsia"/>
        </w:rPr>
        <w:t>　</w:t>
      </w:r>
      <w:r>
        <w:rPr>
          <w:rFonts w:hint="default" w:cs="Times New Roman"/>
        </w:rPr>
        <w:t>取样</w:t>
      </w:r>
      <w:bookmarkEnd w:id="18"/>
    </w:p>
    <w:p w14:paraId="6B92CE5C">
      <w:pPr>
        <w:pStyle w:val="24"/>
        <w:ind w:firstLine="420"/>
        <w:rPr>
          <w:rFonts w:hint="default" w:ascii="宋体" w:hAnsi="宋体" w:eastAsia="宋体" w:cs="Times New Roman"/>
          <w:lang w:val="en-US" w:eastAsia="zh-CN"/>
        </w:rPr>
      </w:pPr>
      <w:r>
        <w:rPr>
          <w:rFonts w:hint="default" w:ascii="宋体" w:hAnsi="宋体" w:eastAsia="宋体" w:cs="Times New Roman"/>
          <w:lang w:val="en-US" w:eastAsia="zh-CN"/>
        </w:rPr>
        <w:t>取样按 GB/T 4756 进行，取 4 L 作为检验和留样用。</w:t>
      </w:r>
    </w:p>
    <w:p w14:paraId="7A0384F2">
      <w:pPr>
        <w:pStyle w:val="38"/>
        <w:rPr>
          <w:rFonts w:hint="default" w:cs="Times New Roman"/>
          <w:lang w:val="en-US" w:eastAsia="zh-CN"/>
        </w:rPr>
      </w:pPr>
      <w:bookmarkStart w:id="19" w:name="_Toc12619"/>
      <w:r>
        <w:rPr>
          <w:rFonts w:hint="eastAsia" w:cs="Times New Roman"/>
          <w:lang w:val="en-US" w:eastAsia="zh-CN"/>
        </w:rPr>
        <w:t>7</w:t>
      </w:r>
      <w:r>
        <w:rPr>
          <w:rFonts w:hint="eastAsia"/>
        </w:rPr>
        <w:t>　</w:t>
      </w:r>
      <w:r>
        <w:rPr>
          <w:rFonts w:hint="default" w:cs="Times New Roman"/>
          <w:lang w:val="en-US" w:eastAsia="zh-CN"/>
        </w:rPr>
        <w:t>标志、包装、运输和贮存</w:t>
      </w:r>
      <w:bookmarkEnd w:id="19"/>
    </w:p>
    <w:p w14:paraId="74103CE9">
      <w:pPr>
        <w:pStyle w:val="24"/>
        <w:ind w:firstLine="420"/>
        <w:rPr>
          <w:rFonts w:hint="default" w:ascii="宋体" w:hAnsi="宋体" w:eastAsia="宋体" w:cs="Times New Roman"/>
          <w:lang w:val="en-US" w:eastAsia="zh-CN"/>
        </w:rPr>
      </w:pPr>
      <w:r>
        <w:rPr>
          <w:rFonts w:hint="default" w:ascii="宋体" w:hAnsi="宋体" w:eastAsia="宋体" w:cs="Times New Roman"/>
          <w:lang w:val="en-US" w:eastAsia="zh-CN"/>
        </w:rPr>
        <w:t>应急柴油发电机组用抗氧化燃料属易燃液体，产品的标志、包装、运输和贮存及交货验收按NB/SH 0164、GB 30000.7-2013和GB 190进行。</w:t>
      </w:r>
    </w:p>
    <w:p w14:paraId="2DFDA05F">
      <w:pPr>
        <w:pStyle w:val="38"/>
        <w:rPr>
          <w:rFonts w:hint="default" w:cs="Times New Roman"/>
          <w:lang w:val="en-US" w:eastAsia="zh-CN"/>
        </w:rPr>
      </w:pPr>
      <w:bookmarkStart w:id="20" w:name="_Toc18777"/>
      <w:r>
        <w:rPr>
          <w:rFonts w:hint="eastAsia" w:cs="Times New Roman"/>
          <w:lang w:val="en-US" w:eastAsia="zh-CN"/>
        </w:rPr>
        <w:t>8</w:t>
      </w:r>
      <w:r>
        <w:rPr>
          <w:rFonts w:hint="eastAsia"/>
        </w:rPr>
        <w:t>　</w:t>
      </w:r>
      <w:r>
        <w:rPr>
          <w:rFonts w:hint="default" w:cs="Times New Roman"/>
          <w:lang w:val="en-US" w:eastAsia="zh-CN"/>
        </w:rPr>
        <w:t>安全</w:t>
      </w:r>
      <w:bookmarkEnd w:id="20"/>
    </w:p>
    <w:p w14:paraId="75FE1B60">
      <w:pPr>
        <w:pStyle w:val="24"/>
        <w:ind w:firstLine="420"/>
        <w:rPr>
          <w:rFonts w:hint="default" w:ascii="宋体" w:hAnsi="宋体" w:eastAsia="宋体" w:cs="Times New Roman"/>
          <w:lang w:val="en-US" w:eastAsia="zh-CN"/>
        </w:rPr>
      </w:pPr>
      <w:r>
        <w:rPr>
          <w:rFonts w:hint="default" w:ascii="宋体" w:hAnsi="宋体" w:eastAsia="宋体" w:cs="Times New Roman"/>
          <w:lang w:val="en-US" w:eastAsia="zh-CN"/>
        </w:rPr>
        <w:t>根据《全球化学品统一分类和标签制度》《危险化学品分类信息表》与《化学品分类和标签规范》系列标准（GB 30000.2-2013—GB 30000.29-2013），该产品属于易燃液体，类别 3。</w:t>
      </w:r>
    </w:p>
    <w:p w14:paraId="306D1AED">
      <w:pPr>
        <w:pStyle w:val="37"/>
        <w:rPr>
          <w:rFonts w:hint="default" w:cs="Times New Roman"/>
          <w:lang w:val="en-US" w:eastAsia="zh-CN"/>
        </w:rPr>
      </w:pPr>
      <w:bookmarkStart w:id="21" w:name="_Toc26238"/>
      <w:r>
        <w:rPr>
          <w:rFonts w:hint="eastAsia" w:cs="Times New Roman"/>
          <w:lang w:val="en-US" w:eastAsia="zh-CN"/>
        </w:rPr>
        <w:t>8.1　</w:t>
      </w:r>
      <w:r>
        <w:rPr>
          <w:rFonts w:hint="default" w:cs="Times New Roman"/>
          <w:lang w:val="en-US" w:eastAsia="zh-CN"/>
        </w:rPr>
        <w:t>危险性概述</w:t>
      </w:r>
      <w:bookmarkEnd w:id="21"/>
    </w:p>
    <w:p w14:paraId="64AEC2E6">
      <w:pPr>
        <w:numPr>
          <w:ilvl w:val="0"/>
          <w:numId w:val="0"/>
        </w:numPr>
        <w:spacing w:before="312" w:beforeLines="100" w:after="312" w:afterLines="100"/>
        <w:ind w:firstLine="420" w:firstLineChars="200"/>
        <w:jc w:val="both"/>
        <w:outlineLvl w:val="1"/>
        <w:rPr>
          <w:rFonts w:hint="default" w:ascii="宋体" w:hAnsi="宋体" w:eastAsia="宋体" w:cs="Times New Roman"/>
          <w:kern w:val="0"/>
          <w:sz w:val="21"/>
          <w:szCs w:val="20"/>
          <w:lang w:val="en-US" w:eastAsia="zh-CN" w:bidi="ar-SA"/>
        </w:rPr>
      </w:pPr>
      <w:bookmarkStart w:id="22" w:name="_Toc7309"/>
      <w:r>
        <w:rPr>
          <w:rFonts w:hint="default" w:ascii="宋体" w:hAnsi="宋体" w:eastAsia="宋体" w:cs="Times New Roman"/>
          <w:kern w:val="0"/>
          <w:sz w:val="21"/>
          <w:szCs w:val="20"/>
          <w:lang w:val="en-US" w:eastAsia="zh-CN" w:bidi="ar-SA"/>
        </w:rPr>
        <w:t>遇明火、高热或与氧化剂接触，有引起燃烧爆炸的危险。若遇高热，容器内压力增大，有开裂和爆炸的危险。</w:t>
      </w:r>
      <w:bookmarkEnd w:id="22"/>
    </w:p>
    <w:p w14:paraId="1F77D25D">
      <w:pPr>
        <w:pStyle w:val="37"/>
        <w:rPr>
          <w:rFonts w:hint="default" w:cs="Times New Roman"/>
          <w:lang w:val="en-US" w:eastAsia="zh-CN"/>
        </w:rPr>
      </w:pPr>
      <w:bookmarkStart w:id="23" w:name="_Toc22934"/>
      <w:r>
        <w:rPr>
          <w:rFonts w:hint="eastAsia" w:cs="Times New Roman"/>
          <w:lang w:val="en-US" w:eastAsia="zh-CN"/>
        </w:rPr>
        <w:t>8.2</w:t>
      </w:r>
      <w:r>
        <w:rPr>
          <w:rFonts w:hint="eastAsia"/>
        </w:rPr>
        <w:t>　</w:t>
      </w:r>
      <w:r>
        <w:rPr>
          <w:rFonts w:hint="default" w:cs="Times New Roman"/>
          <w:lang w:val="en-US" w:eastAsia="zh-CN"/>
        </w:rPr>
        <w:t>防护措施</w:t>
      </w:r>
      <w:bookmarkEnd w:id="23"/>
    </w:p>
    <w:p w14:paraId="52CE0756">
      <w:pPr>
        <w:pStyle w:val="24"/>
        <w:ind w:firstLine="420"/>
        <w:rPr>
          <w:rFonts w:hint="default" w:ascii="宋体" w:hAnsi="宋体" w:eastAsia="宋体" w:cs="Times New Roman"/>
          <w:lang w:val="en-US" w:eastAsia="zh-CN"/>
        </w:rPr>
      </w:pPr>
      <w:r>
        <w:rPr>
          <w:rFonts w:hint="default" w:ascii="宋体" w:hAnsi="宋体" w:eastAsia="宋体" w:cs="Times New Roman"/>
          <w:lang w:val="en-US" w:eastAsia="zh-CN"/>
        </w:rPr>
        <w:t>a) 呼吸系统防护：空气中浓度超标时，建议佩戴自吸过滤式防毒面具（半面罩）。紧急事态抢救或撤离时，应该佩戴空气呼吸器。</w:t>
      </w:r>
    </w:p>
    <w:p w14:paraId="44FC4802">
      <w:pPr>
        <w:pStyle w:val="24"/>
        <w:ind w:firstLine="420"/>
        <w:rPr>
          <w:rFonts w:hint="default" w:ascii="宋体" w:hAnsi="宋体" w:eastAsia="宋体" w:cs="Times New Roman"/>
          <w:lang w:val="en-US" w:eastAsia="zh-CN"/>
        </w:rPr>
      </w:pPr>
      <w:r>
        <w:rPr>
          <w:rFonts w:hint="default" w:ascii="宋体" w:hAnsi="宋体" w:eastAsia="宋体" w:cs="Times New Roman"/>
          <w:lang w:val="en-US" w:eastAsia="zh-CN"/>
        </w:rPr>
        <w:t>b) 眼睛防护：一般不需要特殊防护，高浓度接触时可戴化学安全防护眼镜。</w:t>
      </w:r>
    </w:p>
    <w:p w14:paraId="1D633F6F">
      <w:pPr>
        <w:pStyle w:val="24"/>
        <w:ind w:firstLine="420"/>
        <w:rPr>
          <w:rFonts w:hint="default" w:ascii="宋体" w:hAnsi="宋体" w:eastAsia="宋体" w:cs="Times New Roman"/>
          <w:lang w:val="en-US" w:eastAsia="zh-CN"/>
        </w:rPr>
      </w:pPr>
      <w:r>
        <w:rPr>
          <w:rFonts w:hint="default" w:ascii="宋体" w:hAnsi="宋体" w:eastAsia="宋体" w:cs="Times New Roman"/>
          <w:lang w:val="en-US" w:eastAsia="zh-CN"/>
        </w:rPr>
        <w:t>c) 皮肤和身体防护：穿一般作业防护服。</w:t>
      </w:r>
    </w:p>
    <w:p w14:paraId="03853C7A">
      <w:pPr>
        <w:pStyle w:val="24"/>
        <w:ind w:firstLine="420"/>
        <w:rPr>
          <w:rFonts w:hint="default" w:ascii="宋体" w:hAnsi="宋体" w:eastAsia="宋体" w:cs="Times New Roman"/>
          <w:lang w:val="en-US" w:eastAsia="zh-CN"/>
        </w:rPr>
      </w:pPr>
      <w:r>
        <w:rPr>
          <w:rFonts w:hint="default" w:ascii="宋体" w:hAnsi="宋体" w:eastAsia="宋体" w:cs="Times New Roman"/>
          <w:lang w:val="en-US" w:eastAsia="zh-CN"/>
        </w:rPr>
        <w:t>d) 手防护：戴橡胶耐油手套。</w:t>
      </w:r>
    </w:p>
    <w:p w14:paraId="6B78E2B0">
      <w:pPr>
        <w:pStyle w:val="24"/>
        <w:ind w:firstLine="420"/>
        <w:rPr>
          <w:rFonts w:hint="default" w:ascii="宋体" w:hAnsi="宋体" w:eastAsia="宋体" w:cs="Times New Roman"/>
          <w:lang w:val="en-US" w:eastAsia="zh-CN"/>
        </w:rPr>
      </w:pPr>
      <w:r>
        <w:rPr>
          <w:rFonts w:hint="default" w:ascii="宋体" w:hAnsi="宋体" w:eastAsia="宋体" w:cs="Times New Roman"/>
          <w:lang w:val="en-US" w:eastAsia="zh-CN"/>
        </w:rPr>
        <w:t>e) 其他防护：工作现场严禁吸烟。避免长期反复接触。</w:t>
      </w:r>
    </w:p>
    <w:p w14:paraId="16DB6238">
      <w:pPr>
        <w:pStyle w:val="38"/>
        <w:rPr>
          <w:rFonts w:hint="default" w:cs="Times New Roman"/>
          <w:lang w:val="en-US" w:eastAsia="zh-CN"/>
        </w:rPr>
      </w:pPr>
      <w:bookmarkStart w:id="24" w:name="_Toc11724"/>
      <w:r>
        <w:rPr>
          <w:rFonts w:hint="eastAsia" w:cs="Times New Roman"/>
          <w:lang w:val="en-US" w:eastAsia="zh-CN"/>
        </w:rPr>
        <w:t>9</w:t>
      </w:r>
      <w:r>
        <w:rPr>
          <w:rFonts w:hint="eastAsia"/>
        </w:rPr>
        <w:t>　</w:t>
      </w:r>
      <w:r>
        <w:rPr>
          <w:rFonts w:hint="default" w:cs="Times New Roman"/>
          <w:lang w:val="en-US" w:eastAsia="zh-CN"/>
        </w:rPr>
        <w:t>检验规则</w:t>
      </w:r>
      <w:bookmarkEnd w:id="24"/>
    </w:p>
    <w:p w14:paraId="7953C513">
      <w:pPr>
        <w:pStyle w:val="37"/>
        <w:rPr>
          <w:rFonts w:hint="default" w:cs="Times New Roman"/>
          <w:lang w:val="en-US" w:eastAsia="zh-CN"/>
        </w:rPr>
      </w:pPr>
      <w:bookmarkStart w:id="25" w:name="_Toc21612"/>
      <w:r>
        <w:rPr>
          <w:rFonts w:hint="eastAsia" w:cs="Times New Roman"/>
          <w:lang w:val="en-US" w:eastAsia="zh-CN"/>
        </w:rPr>
        <w:t>9.1</w:t>
      </w:r>
      <w:r>
        <w:rPr>
          <w:rFonts w:hint="eastAsia"/>
        </w:rPr>
        <w:t>　</w:t>
      </w:r>
      <w:r>
        <w:rPr>
          <w:rFonts w:hint="default" w:cs="Times New Roman"/>
          <w:lang w:val="en-US" w:eastAsia="zh-CN"/>
        </w:rPr>
        <w:t>检验分类与检验项目</w:t>
      </w:r>
      <w:bookmarkEnd w:id="25"/>
    </w:p>
    <w:p w14:paraId="1DBC55BA">
      <w:pPr>
        <w:pStyle w:val="24"/>
        <w:ind w:firstLine="420"/>
        <w:rPr>
          <w:rFonts w:hint="default" w:ascii="宋体" w:hAnsi="宋体" w:eastAsia="宋体" w:cs="Times New Roman"/>
          <w:lang w:val="en-US" w:eastAsia="zh-CN"/>
        </w:rPr>
      </w:pPr>
      <w:r>
        <w:rPr>
          <w:rFonts w:hint="default" w:ascii="宋体" w:hAnsi="宋体" w:eastAsia="宋体" w:cs="Times New Roman"/>
          <w:lang w:val="en-US" w:eastAsia="zh-CN"/>
        </w:rPr>
        <w:t>本产品检验为出厂检验，出厂检验项目为表1中规定的技术指标。</w:t>
      </w:r>
    </w:p>
    <w:p w14:paraId="5D3182BB">
      <w:pPr>
        <w:pStyle w:val="37"/>
        <w:rPr>
          <w:rFonts w:hint="default" w:cs="Times New Roman"/>
          <w:lang w:val="en-US" w:eastAsia="zh-CN"/>
        </w:rPr>
      </w:pPr>
      <w:bookmarkStart w:id="26" w:name="_Toc26424"/>
      <w:r>
        <w:rPr>
          <w:rFonts w:hint="eastAsia" w:cs="Times New Roman"/>
          <w:lang w:val="en-US" w:eastAsia="zh-CN"/>
        </w:rPr>
        <w:t>9.2</w:t>
      </w:r>
      <w:r>
        <w:rPr>
          <w:rFonts w:hint="eastAsia"/>
        </w:rPr>
        <w:t>　</w:t>
      </w:r>
      <w:r>
        <w:rPr>
          <w:rFonts w:hint="default" w:cs="Times New Roman"/>
          <w:lang w:val="en-US" w:eastAsia="zh-CN"/>
        </w:rPr>
        <w:t>组批</w:t>
      </w:r>
      <w:bookmarkEnd w:id="26"/>
    </w:p>
    <w:p w14:paraId="4F7128AF">
      <w:pPr>
        <w:pStyle w:val="24"/>
        <w:ind w:firstLine="420"/>
        <w:rPr>
          <w:rFonts w:hint="default" w:ascii="宋体" w:hAnsi="宋体" w:eastAsia="宋体" w:cs="Times New Roman"/>
          <w:lang w:val="en-US" w:eastAsia="zh-CN"/>
        </w:rPr>
      </w:pPr>
      <w:r>
        <w:rPr>
          <w:rFonts w:hint="default" w:ascii="宋体" w:hAnsi="宋体" w:eastAsia="宋体" w:cs="Times New Roman"/>
          <w:lang w:val="en-US" w:eastAsia="zh-CN"/>
        </w:rPr>
        <w:t>产品每生产一罐为一批。</w:t>
      </w:r>
    </w:p>
    <w:p w14:paraId="433298DE">
      <w:pPr>
        <w:pStyle w:val="37"/>
        <w:rPr>
          <w:rFonts w:hint="default" w:cs="Times New Roman"/>
          <w:lang w:val="en-US" w:eastAsia="zh-CN"/>
        </w:rPr>
      </w:pPr>
      <w:bookmarkStart w:id="27" w:name="_Toc2432"/>
      <w:r>
        <w:rPr>
          <w:rFonts w:hint="eastAsia" w:cs="Times New Roman"/>
          <w:lang w:val="en-US" w:eastAsia="zh-CN"/>
        </w:rPr>
        <w:t>9.3</w:t>
      </w:r>
      <w:r>
        <w:rPr>
          <w:rFonts w:hint="eastAsia"/>
        </w:rPr>
        <w:t>　</w:t>
      </w:r>
      <w:r>
        <w:rPr>
          <w:rFonts w:hint="default" w:cs="Times New Roman"/>
          <w:lang w:val="en-US" w:eastAsia="zh-CN"/>
        </w:rPr>
        <w:t>判定规则</w:t>
      </w:r>
      <w:bookmarkEnd w:id="27"/>
    </w:p>
    <w:p w14:paraId="071F4795">
      <w:pPr>
        <w:pStyle w:val="24"/>
        <w:ind w:firstLine="420"/>
        <w:rPr>
          <w:rFonts w:hint="default" w:ascii="宋体" w:hAnsi="宋体" w:eastAsia="宋体" w:cs="Times New Roman"/>
          <w:lang w:val="en-US" w:eastAsia="zh-CN"/>
        </w:rPr>
      </w:pPr>
      <w:r>
        <w:rPr>
          <w:rFonts w:hint="default" w:ascii="宋体" w:hAnsi="宋体" w:eastAsia="宋体" w:cs="Times New Roman"/>
          <w:lang w:val="en-US" w:eastAsia="zh-CN"/>
        </w:rPr>
        <w:t>出厂检验结果应满足检验项目的技术要求，如有一项不符合本标准要求时，按 GB/T 4756 的规则重新取样进行复检，复检结果如仍有一项不符合技术要求时，则判该批产品不合格。</w:t>
      </w:r>
    </w:p>
    <w:p w14:paraId="3758B3C9">
      <w:pPr>
        <w:pStyle w:val="24"/>
        <w:ind w:firstLine="420"/>
        <w:rPr>
          <w:rFonts w:hint="eastAsia"/>
        </w:rPr>
      </w:pPr>
    </w:p>
    <w:p w14:paraId="2E819602">
      <w:pPr>
        <w:pStyle w:val="24"/>
        <w:ind w:firstLine="420"/>
        <w:rPr>
          <w:rFonts w:hint="eastAsia"/>
        </w:rPr>
        <w:sectPr>
          <w:headerReference r:id="rId18" w:type="first"/>
          <w:footerReference r:id="rId20" w:type="first"/>
          <w:headerReference r:id="rId16" w:type="default"/>
          <w:headerReference r:id="rId17" w:type="even"/>
          <w:footerReference r:id="rId19" w:type="even"/>
          <w:pgSz w:w="11906" w:h="16838"/>
          <w:pgMar w:top="1418" w:right="1134" w:bottom="1134" w:left="1418" w:header="1417" w:footer="1134" w:gutter="0"/>
          <w:pgBorders>
            <w:top w:val="none" w:sz="0" w:space="0"/>
            <w:left w:val="none" w:sz="0" w:space="0"/>
            <w:bottom w:val="none" w:sz="0" w:space="0"/>
            <w:right w:val="none" w:sz="0" w:space="0"/>
          </w:pgBorders>
          <w:pgNumType w:start="1"/>
          <w:cols w:space="425" w:num="1"/>
          <w:titlePg/>
          <w:docGrid w:type="lines" w:linePitch="312" w:charSpace="0"/>
        </w:sectPr>
      </w:pPr>
    </w:p>
    <w:p w14:paraId="3C6498CD">
      <w:pPr>
        <w:pStyle w:val="53"/>
      </w:pPr>
      <w:bookmarkStart w:id="28" w:name="_Toc1682"/>
      <w:r>
        <w:rPr>
          <w:rFonts w:hint="eastAsia"/>
        </w:rPr>
        <w:t>附　录　A</w:t>
      </w:r>
      <w:bookmarkEnd w:id="28"/>
    </w:p>
    <w:p w14:paraId="7A46D4A6">
      <w:pPr>
        <w:pStyle w:val="24"/>
        <w:ind w:firstLine="0" w:firstLineChars="0"/>
        <w:jc w:val="center"/>
        <w:rPr>
          <w:rFonts w:hint="eastAsia" w:ascii="黑体" w:hAnsi="黑体" w:eastAsia="黑体"/>
        </w:rPr>
      </w:pPr>
      <w:r>
        <w:rPr>
          <w:rFonts w:hint="eastAsia" w:ascii="黑体" w:hAnsi="黑体" w:eastAsia="黑体"/>
        </w:rPr>
        <w:t>（规范性）</w:t>
      </w:r>
    </w:p>
    <w:p w14:paraId="1FBA2CB0">
      <w:pPr>
        <w:pStyle w:val="24"/>
        <w:ind w:firstLine="0" w:firstLineChars="0"/>
        <w:jc w:val="center"/>
        <w:rPr>
          <w:rFonts w:hint="eastAsia" w:ascii="黑体" w:hAnsi="黑体" w:eastAsia="黑体"/>
        </w:rPr>
      </w:pPr>
      <w:r>
        <w:rPr>
          <w:rFonts w:hint="eastAsia" w:ascii="黑体" w:hAnsi="黑体" w:eastAsia="黑体"/>
        </w:rPr>
        <w:t>储存稳定性</w:t>
      </w:r>
    </w:p>
    <w:p w14:paraId="31F7ABB8">
      <w:pPr>
        <w:pStyle w:val="38"/>
        <w:rPr>
          <w:rFonts w:hint="default" w:cs="Times New Roman"/>
          <w:lang w:val="en-US" w:eastAsia="zh-CN"/>
        </w:rPr>
      </w:pPr>
      <w:bookmarkStart w:id="29" w:name="_Toc18379"/>
      <w:r>
        <w:rPr>
          <w:rFonts w:hint="default" w:cs="Times New Roman"/>
          <w:lang w:val="en-US" w:eastAsia="zh-CN"/>
        </w:rPr>
        <w:t>A</w:t>
      </w:r>
      <w:r>
        <w:rPr>
          <w:rFonts w:hint="eastAsia" w:cs="Times New Roman"/>
          <w:lang w:val="en-US" w:eastAsia="zh-CN"/>
        </w:rPr>
        <w:t>.</w:t>
      </w:r>
      <w:r>
        <w:rPr>
          <w:rFonts w:hint="default" w:cs="Times New Roman"/>
          <w:lang w:val="en-US" w:eastAsia="zh-CN"/>
        </w:rPr>
        <w:t>1</w:t>
      </w:r>
      <w:r>
        <w:rPr>
          <w:rFonts w:hint="eastAsia"/>
        </w:rPr>
        <w:t>　</w:t>
      </w:r>
      <w:r>
        <w:rPr>
          <w:rFonts w:hint="default" w:cs="Times New Roman"/>
          <w:lang w:val="en-US" w:eastAsia="zh-CN"/>
        </w:rPr>
        <w:t>用于研究目的的本储存稳定性测试的建议实验条件</w:t>
      </w:r>
      <w:bookmarkEnd w:id="29"/>
    </w:p>
    <w:p w14:paraId="05836CF7">
      <w:pPr>
        <w:pStyle w:val="37"/>
        <w:rPr>
          <w:rFonts w:hint="default" w:cs="Times New Roman"/>
          <w:lang w:val="en-US" w:eastAsia="zh-CN"/>
        </w:rPr>
      </w:pPr>
      <w:bookmarkStart w:id="30" w:name="_Toc28229"/>
      <w:r>
        <w:rPr>
          <w:rFonts w:hint="default" w:cs="Times New Roman"/>
          <w:lang w:val="en-US" w:eastAsia="zh-CN"/>
        </w:rPr>
        <w:t>A</w:t>
      </w:r>
      <w:r>
        <w:rPr>
          <w:rFonts w:hint="eastAsia" w:cs="Times New Roman"/>
          <w:lang w:val="en-US" w:eastAsia="zh-CN"/>
        </w:rPr>
        <w:t>.</w:t>
      </w:r>
      <w:r>
        <w:rPr>
          <w:rFonts w:hint="default" w:cs="Times New Roman"/>
          <w:lang w:val="en-US" w:eastAsia="zh-CN"/>
        </w:rPr>
        <w:t>1.1</w:t>
      </w:r>
      <w:r>
        <w:rPr>
          <w:rFonts w:hint="eastAsia"/>
        </w:rPr>
        <w:t>　</w:t>
      </w:r>
      <w:r>
        <w:rPr>
          <w:rFonts w:hint="default" w:cs="Times New Roman"/>
          <w:lang w:val="en-US" w:eastAsia="zh-CN"/>
        </w:rPr>
        <w:t>范围</w:t>
      </w:r>
      <w:bookmarkEnd w:id="30"/>
    </w:p>
    <w:p w14:paraId="1DF7FF46">
      <w:pPr>
        <w:pStyle w:val="24"/>
        <w:ind w:firstLine="420"/>
        <w:rPr>
          <w:rFonts w:hint="default" w:ascii="宋体" w:hAnsi="宋体" w:eastAsia="宋体" w:cs="Times New Roman"/>
          <w:lang w:val="en-US" w:eastAsia="zh-CN"/>
        </w:rPr>
      </w:pPr>
      <w:r>
        <w:rPr>
          <w:rFonts w:hint="default" w:ascii="宋体" w:hAnsi="宋体" w:eastAsia="宋体" w:cs="Times New Roman"/>
          <w:lang w:val="en-US" w:eastAsia="zh-CN"/>
        </w:rPr>
        <w:t>A</w:t>
      </w:r>
      <w:r>
        <w:rPr>
          <w:rFonts w:hint="eastAsia" w:ascii="宋体" w:hAnsi="宋体" w:eastAsia="宋体" w:cs="Times New Roman"/>
          <w:lang w:val="en-US" w:eastAsia="zh-CN"/>
        </w:rPr>
        <w:t>.</w:t>
      </w:r>
      <w:r>
        <w:rPr>
          <w:rFonts w:hint="default" w:ascii="宋体" w:hAnsi="宋体" w:eastAsia="宋体" w:cs="Times New Roman"/>
          <w:lang w:val="en-US" w:eastAsia="zh-CN"/>
        </w:rPr>
        <w:t>1.1.1 本附录提供了压力、温度和试验持续时间条件的信息，在这些条件下，将形成大约相同数量的不溶物。</w:t>
      </w:r>
    </w:p>
    <w:p w14:paraId="4E08D51B">
      <w:pPr>
        <w:pStyle w:val="24"/>
        <w:ind w:firstLine="420"/>
        <w:rPr>
          <w:rFonts w:hint="default" w:ascii="宋体" w:hAnsi="宋体" w:eastAsia="宋体" w:cs="Times New Roman"/>
          <w:lang w:val="en-US" w:eastAsia="zh-CN"/>
        </w:rPr>
      </w:pPr>
      <w:r>
        <w:rPr>
          <w:rFonts w:hint="default" w:ascii="宋体" w:hAnsi="宋体" w:eastAsia="宋体" w:cs="Times New Roman"/>
          <w:lang w:val="en-US" w:eastAsia="zh-CN"/>
        </w:rPr>
        <w:t>A</w:t>
      </w:r>
      <w:r>
        <w:rPr>
          <w:rFonts w:hint="eastAsia" w:ascii="宋体" w:hAnsi="宋体" w:eastAsia="宋体" w:cs="Times New Roman"/>
          <w:lang w:val="en-US" w:eastAsia="zh-CN"/>
        </w:rPr>
        <w:t>.</w:t>
      </w:r>
      <w:r>
        <w:rPr>
          <w:rFonts w:hint="default" w:ascii="宋体" w:hAnsi="宋体" w:eastAsia="宋体" w:cs="Times New Roman"/>
          <w:lang w:val="en-US" w:eastAsia="zh-CN"/>
        </w:rPr>
        <w:t>1.1.2 本附录将在800kPa(绝对）氧气压力下在40℃下氧气超压条件下储存一个月形成的不溶物水平与在20℃和40℃、大气压空气压力下的等效储存时间联系起来。</w:t>
      </w:r>
    </w:p>
    <w:p w14:paraId="43E43AE2">
      <w:pPr>
        <w:pStyle w:val="24"/>
        <w:ind w:firstLine="420"/>
        <w:rPr>
          <w:rFonts w:hint="default" w:ascii="宋体" w:hAnsi="宋体" w:eastAsia="宋体" w:cs="Times New Roman"/>
          <w:lang w:val="en-US" w:eastAsia="zh-CN"/>
        </w:rPr>
      </w:pPr>
      <w:r>
        <w:rPr>
          <w:rFonts w:hint="default" w:ascii="宋体" w:hAnsi="宋体" w:eastAsia="宋体" w:cs="Times New Roman"/>
          <w:lang w:val="en-US" w:eastAsia="zh-CN"/>
        </w:rPr>
        <w:t>A</w:t>
      </w:r>
      <w:r>
        <w:rPr>
          <w:rFonts w:hint="eastAsia" w:ascii="宋体" w:hAnsi="宋体" w:eastAsia="宋体" w:cs="Times New Roman"/>
          <w:lang w:val="en-US" w:eastAsia="zh-CN"/>
        </w:rPr>
        <w:t>.</w:t>
      </w:r>
      <w:r>
        <w:rPr>
          <w:rFonts w:hint="default" w:ascii="宋体" w:hAnsi="宋体" w:eastAsia="宋体" w:cs="Times New Roman"/>
          <w:lang w:val="en-US" w:eastAsia="zh-CN"/>
        </w:rPr>
        <w:t>1.1.3 本附录的表A1.1表明，在800kPa（绝对）氧气压力下的温度和测试持续时间，产生的不溶物量与在20℃大气压力下储存40个月后所获得的的不溶物量大致相同。</w:t>
      </w:r>
    </w:p>
    <w:p w14:paraId="29AF7DCF">
      <w:pPr>
        <w:pStyle w:val="24"/>
        <w:ind w:firstLine="420"/>
        <w:rPr>
          <w:rFonts w:hint="default" w:ascii="宋体" w:hAnsi="宋体" w:eastAsia="宋体" w:cs="Times New Roman"/>
          <w:lang w:val="en-US" w:eastAsia="zh-CN"/>
        </w:rPr>
      </w:pPr>
      <w:r>
        <w:rPr>
          <w:rFonts w:hint="default" w:ascii="宋体" w:hAnsi="宋体" w:eastAsia="宋体" w:cs="Times New Roman"/>
          <w:lang w:val="en-US" w:eastAsia="zh-CN"/>
        </w:rPr>
        <w:t>A</w:t>
      </w:r>
      <w:r>
        <w:rPr>
          <w:rFonts w:hint="eastAsia" w:ascii="宋体" w:hAnsi="宋体" w:eastAsia="宋体" w:cs="Times New Roman"/>
          <w:lang w:val="en-US" w:eastAsia="zh-CN"/>
        </w:rPr>
        <w:t>.</w:t>
      </w:r>
      <w:r>
        <w:rPr>
          <w:rFonts w:hint="default" w:ascii="宋体" w:hAnsi="宋体" w:eastAsia="宋体" w:cs="Times New Roman"/>
          <w:lang w:val="en-US" w:eastAsia="zh-CN"/>
        </w:rPr>
        <w:t>1.1.4 ASTM D5304 标准的适用范围包括：</w:t>
      </w:r>
    </w:p>
    <w:p w14:paraId="50157E29">
      <w:pPr>
        <w:pStyle w:val="24"/>
        <w:ind w:firstLine="420"/>
        <w:rPr>
          <w:rFonts w:hint="default" w:ascii="宋体" w:hAnsi="宋体" w:eastAsia="宋体" w:cs="Times New Roman"/>
          <w:lang w:val="en-US" w:eastAsia="zh-CN"/>
        </w:rPr>
      </w:pPr>
      <w:r>
        <w:rPr>
          <w:rFonts w:hint="default" w:ascii="宋体" w:hAnsi="宋体" w:eastAsia="宋体" w:cs="Times New Roman"/>
          <w:lang w:val="en-US" w:eastAsia="zh-CN"/>
        </w:rPr>
        <w:t>适用于评定中间馏分燃料的潜在储存安定性，符合 ASTM D975 规范要求。</w:t>
      </w:r>
    </w:p>
    <w:p w14:paraId="53B20990">
      <w:pPr>
        <w:pStyle w:val="24"/>
        <w:ind w:firstLine="420"/>
        <w:rPr>
          <w:rFonts w:hint="default" w:ascii="宋体" w:hAnsi="宋体" w:eastAsia="宋体" w:cs="Times New Roman"/>
          <w:lang w:val="en-US" w:eastAsia="zh-CN"/>
        </w:rPr>
      </w:pPr>
      <w:r>
        <w:rPr>
          <w:rFonts w:hint="default" w:ascii="宋体" w:hAnsi="宋体" w:eastAsia="宋体" w:cs="Times New Roman"/>
          <w:lang w:val="en-US" w:eastAsia="zh-CN"/>
        </w:rPr>
        <w:t>既适用于新炼制的燃料，也适用于已储存的燃料</w:t>
      </w:r>
    </w:p>
    <w:p w14:paraId="17BD5467">
      <w:pPr>
        <w:pStyle w:val="24"/>
        <w:ind w:firstLine="420"/>
        <w:rPr>
          <w:rFonts w:hint="default" w:ascii="宋体" w:hAnsi="宋体" w:eastAsia="宋体" w:cs="Times New Roman"/>
          <w:lang w:val="en-US" w:eastAsia="zh-CN"/>
        </w:rPr>
      </w:pPr>
      <w:r>
        <w:rPr>
          <w:rFonts w:hint="default" w:ascii="宋体" w:hAnsi="宋体" w:eastAsia="宋体" w:cs="Times New Roman"/>
          <w:lang w:val="en-US" w:eastAsia="zh-CN"/>
        </w:rPr>
        <w:t>适用于含有或不含稳定剂添加剂的燃料，但含有分散剂添加剂 (包括含分散剂的稳定性添加剂) 的燃料可能与不含分散剂添加剂的燃料产生不准确的排序结果。</w:t>
      </w:r>
    </w:p>
    <w:p w14:paraId="25B3D448">
      <w:pPr>
        <w:pStyle w:val="37"/>
        <w:rPr>
          <w:rFonts w:hint="eastAsia" w:cs="Times New Roman"/>
          <w:lang w:val="en-US" w:eastAsia="zh-CN"/>
        </w:rPr>
      </w:pPr>
      <w:bookmarkStart w:id="31" w:name="_Toc16917"/>
      <w:r>
        <w:rPr>
          <w:rFonts w:hint="eastAsia" w:cs="Times New Roman"/>
          <w:lang w:val="en-US" w:eastAsia="zh-CN"/>
        </w:rPr>
        <w:t>A.1.2</w:t>
      </w:r>
      <w:r>
        <w:rPr>
          <w:rFonts w:hint="eastAsia"/>
        </w:rPr>
        <w:t>　</w:t>
      </w:r>
      <w:r>
        <w:rPr>
          <w:rFonts w:hint="eastAsia" w:cs="Times New Roman"/>
          <w:lang w:val="en-US" w:eastAsia="zh-CN"/>
        </w:rPr>
        <w:t>等效试验条件</w:t>
      </w:r>
      <w:bookmarkEnd w:id="31"/>
    </w:p>
    <w:p w14:paraId="7DD91D01">
      <w:pPr>
        <w:pStyle w:val="24"/>
        <w:ind w:firstLine="420"/>
        <w:rPr>
          <w:rFonts w:hint="default" w:ascii="Times New Roman" w:hAnsi="Times New Roman" w:eastAsia="黑体" w:cs="Times New Roman"/>
          <w:sz w:val="21"/>
          <w:szCs w:val="21"/>
          <w:lang w:val="en-US" w:eastAsia="zh-CN" w:bidi="ar-SA"/>
        </w:rPr>
      </w:pPr>
      <w:r>
        <w:rPr>
          <w:rFonts w:hint="default" w:ascii="宋体" w:hAnsi="宋体" w:eastAsia="宋体" w:cs="Times New Roman"/>
          <w:lang w:val="en-US" w:eastAsia="zh-CN"/>
        </w:rPr>
        <w:t>在40℃时，使用800kPa（绝对）的氧气代替大气压下的空气，大多数中间馏分燃料的不溶物增加约10倍。因为在40℃的大气压下存储一个月所产生的不溶物量与在20℃下储存四个月的不溶物的量大致相同，因此在40℃、800kPa（绝对）氧压下储存一个月所产生的不溶物的量与在20℃大气压下储存40个月大致相同。其他温度下的等效时间如下表所示：</w:t>
      </w:r>
    </w:p>
    <w:p w14:paraId="0D3AB15E">
      <w:pPr>
        <w:pStyle w:val="44"/>
        <w:rPr>
          <w:rFonts w:hint="default" w:cs="Times New Roman"/>
          <w:lang w:val="en-US" w:eastAsia="zh-CN"/>
        </w:rPr>
      </w:pPr>
      <w:r>
        <w:rPr>
          <w:rFonts w:hint="default" w:cs="Times New Roman"/>
          <w:lang w:val="en-US" w:eastAsia="zh-CN"/>
        </w:rPr>
        <w:t>表A</w:t>
      </w:r>
      <w:r>
        <w:rPr>
          <w:rFonts w:hint="eastAsia" w:cs="Times New Roman"/>
          <w:lang w:val="en-US" w:eastAsia="zh-CN"/>
        </w:rPr>
        <w:t>.</w:t>
      </w:r>
      <w:r>
        <w:rPr>
          <w:rFonts w:hint="default" w:cs="Times New Roman"/>
          <w:lang w:val="en-US" w:eastAsia="zh-CN"/>
        </w:rPr>
        <w:t>1</w:t>
      </w:r>
      <w:r>
        <w:rPr>
          <w:rFonts w:hint="eastAsia" w:cs="Times New Roman"/>
          <w:lang w:val="en-US" w:eastAsia="zh-CN"/>
        </w:rPr>
        <w:t>在</w:t>
      </w:r>
      <w:r>
        <w:rPr>
          <w:rFonts w:hint="default" w:cs="Times New Roman"/>
          <w:lang w:val="en-US" w:eastAsia="zh-CN"/>
        </w:rPr>
        <w:t>800 kPa（绝对）氧气条件下的温度和试验持续时间的组合，其产生的不溶物量与大气压力下20℃储存40个月的不溶物质量大致相同。</w:t>
      </w:r>
    </w:p>
    <w:tbl>
      <w:tblPr>
        <w:tblStyle w:val="18"/>
        <w:tblW w:w="956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4270"/>
        <w:gridCol w:w="5294"/>
      </w:tblGrid>
      <w:tr w14:paraId="2F6CE0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0" w:hRule="atLeast"/>
          <w:tblHeader/>
          <w:jc w:val="center"/>
        </w:trPr>
        <w:tc>
          <w:tcPr>
            <w:tcW w:w="4270" w:type="dxa"/>
            <w:tcBorders>
              <w:top w:val="single" w:color="auto" w:sz="12" w:space="0"/>
              <w:left w:val="single" w:color="auto" w:sz="12" w:space="0"/>
              <w:bottom w:val="single" w:color="auto" w:sz="12" w:space="0"/>
              <w:right w:val="single" w:color="auto" w:sz="4" w:space="0"/>
            </w:tcBorders>
            <w:vAlign w:val="center"/>
          </w:tcPr>
          <w:p w14:paraId="1FB31C52">
            <w:pPr>
              <w:pStyle w:val="24"/>
              <w:widowControl w:val="0"/>
              <w:ind w:firstLine="420"/>
              <w:jc w:val="center"/>
              <w:rPr>
                <w:rFonts w:hint="default" w:ascii="宋体" w:hAnsi="宋体" w:eastAsia="宋体" w:cs="Times New Roman"/>
                <w:lang w:val="en-US" w:eastAsia="zh-CN"/>
              </w:rPr>
            </w:pPr>
            <w:r>
              <w:rPr>
                <w:rFonts w:hint="default" w:ascii="宋体" w:hAnsi="宋体" w:eastAsia="宋体" w:cs="Times New Roman"/>
                <w:lang w:val="en-US" w:eastAsia="zh-CN"/>
              </w:rPr>
              <w:t>温度℃</w:t>
            </w:r>
          </w:p>
        </w:tc>
        <w:tc>
          <w:tcPr>
            <w:tcW w:w="5294" w:type="dxa"/>
            <w:tcBorders>
              <w:top w:val="single" w:color="auto" w:sz="12" w:space="0"/>
              <w:left w:val="single" w:color="auto" w:sz="4" w:space="0"/>
              <w:bottom w:val="single" w:color="auto" w:sz="12" w:space="0"/>
              <w:right w:val="single" w:color="auto" w:sz="12" w:space="0"/>
            </w:tcBorders>
            <w:vAlign w:val="center"/>
          </w:tcPr>
          <w:p w14:paraId="35523FF8">
            <w:pPr>
              <w:pStyle w:val="24"/>
              <w:widowControl w:val="0"/>
              <w:ind w:firstLine="420"/>
              <w:jc w:val="center"/>
              <w:rPr>
                <w:rFonts w:hint="default" w:ascii="宋体" w:hAnsi="宋体" w:eastAsia="宋体" w:cs="Times New Roman"/>
                <w:lang w:val="en-US" w:eastAsia="zh-CN"/>
              </w:rPr>
            </w:pPr>
            <w:r>
              <w:rPr>
                <w:rFonts w:hint="default" w:ascii="宋体" w:hAnsi="宋体" w:eastAsia="宋体" w:cs="Times New Roman"/>
                <w:lang w:val="en-US" w:eastAsia="zh-CN"/>
              </w:rPr>
              <w:t>测试时长</w:t>
            </w:r>
          </w:p>
        </w:tc>
      </w:tr>
      <w:tr w14:paraId="39E144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0" w:hRule="atLeast"/>
          <w:jc w:val="center"/>
        </w:trPr>
        <w:tc>
          <w:tcPr>
            <w:tcW w:w="4270" w:type="dxa"/>
            <w:tcBorders>
              <w:top w:val="single" w:color="auto" w:sz="12" w:space="0"/>
              <w:left w:val="single" w:color="auto" w:sz="12" w:space="0"/>
              <w:bottom w:val="single" w:color="auto" w:sz="4" w:space="0"/>
              <w:right w:val="single" w:color="auto" w:sz="4" w:space="0"/>
            </w:tcBorders>
            <w:vAlign w:val="center"/>
          </w:tcPr>
          <w:p w14:paraId="7EE17C22">
            <w:pPr>
              <w:pStyle w:val="24"/>
              <w:widowControl w:val="0"/>
              <w:ind w:firstLine="420"/>
              <w:jc w:val="center"/>
              <w:rPr>
                <w:rFonts w:hint="default" w:ascii="宋体" w:hAnsi="宋体" w:eastAsia="宋体" w:cs="Times New Roman"/>
                <w:lang w:val="en-US" w:eastAsia="zh-CN"/>
              </w:rPr>
            </w:pPr>
            <w:r>
              <w:rPr>
                <w:rFonts w:hint="default" w:ascii="宋体" w:hAnsi="宋体" w:eastAsia="宋体" w:cs="Times New Roman"/>
                <w:lang w:val="en-US" w:eastAsia="zh-CN"/>
              </w:rPr>
              <w:t>40</w:t>
            </w:r>
          </w:p>
        </w:tc>
        <w:tc>
          <w:tcPr>
            <w:tcW w:w="5294" w:type="dxa"/>
            <w:tcBorders>
              <w:top w:val="single" w:color="auto" w:sz="12" w:space="0"/>
              <w:left w:val="single" w:color="auto" w:sz="4" w:space="0"/>
              <w:bottom w:val="single" w:color="auto" w:sz="4" w:space="0"/>
              <w:right w:val="single" w:color="auto" w:sz="12" w:space="0"/>
            </w:tcBorders>
            <w:vAlign w:val="center"/>
          </w:tcPr>
          <w:p w14:paraId="2B64175E">
            <w:pPr>
              <w:pStyle w:val="24"/>
              <w:widowControl w:val="0"/>
              <w:ind w:firstLine="420"/>
              <w:jc w:val="center"/>
              <w:rPr>
                <w:rFonts w:hint="default" w:ascii="宋体" w:hAnsi="宋体" w:eastAsia="宋体" w:cs="Times New Roman"/>
                <w:lang w:val="en-US" w:eastAsia="zh-CN"/>
              </w:rPr>
            </w:pPr>
            <w:r>
              <w:rPr>
                <w:rFonts w:hint="default" w:ascii="宋体" w:hAnsi="宋体" w:eastAsia="宋体" w:cs="Times New Roman"/>
                <w:lang w:val="en-US" w:eastAsia="zh-CN"/>
              </w:rPr>
              <w:t>32天</w:t>
            </w:r>
          </w:p>
        </w:tc>
      </w:tr>
      <w:tr w14:paraId="754387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0" w:hRule="atLeast"/>
          <w:jc w:val="center"/>
        </w:trPr>
        <w:tc>
          <w:tcPr>
            <w:tcW w:w="4270" w:type="dxa"/>
            <w:tcBorders>
              <w:top w:val="single" w:color="auto" w:sz="4" w:space="0"/>
              <w:left w:val="single" w:color="auto" w:sz="12" w:space="0"/>
              <w:bottom w:val="single" w:color="auto" w:sz="4" w:space="0"/>
              <w:right w:val="single" w:color="auto" w:sz="4" w:space="0"/>
            </w:tcBorders>
            <w:vAlign w:val="center"/>
          </w:tcPr>
          <w:p w14:paraId="11FE297C">
            <w:pPr>
              <w:pStyle w:val="24"/>
              <w:widowControl w:val="0"/>
              <w:ind w:firstLine="420"/>
              <w:jc w:val="center"/>
              <w:rPr>
                <w:rFonts w:hint="default" w:ascii="宋体" w:hAnsi="宋体" w:eastAsia="宋体" w:cs="Times New Roman"/>
                <w:lang w:val="en-US" w:eastAsia="zh-CN"/>
              </w:rPr>
            </w:pPr>
            <w:r>
              <w:rPr>
                <w:rFonts w:hint="default" w:ascii="宋体" w:hAnsi="宋体" w:eastAsia="宋体" w:cs="Times New Roman"/>
                <w:lang w:val="en-US" w:eastAsia="zh-CN"/>
              </w:rPr>
              <w:t>60</w:t>
            </w:r>
          </w:p>
        </w:tc>
        <w:tc>
          <w:tcPr>
            <w:tcW w:w="5294" w:type="dxa"/>
            <w:tcBorders>
              <w:top w:val="single" w:color="auto" w:sz="4" w:space="0"/>
              <w:left w:val="single" w:color="auto" w:sz="4" w:space="0"/>
              <w:bottom w:val="single" w:color="auto" w:sz="4" w:space="0"/>
              <w:right w:val="single" w:color="auto" w:sz="12" w:space="0"/>
            </w:tcBorders>
            <w:vAlign w:val="center"/>
          </w:tcPr>
          <w:p w14:paraId="5E8A2893">
            <w:pPr>
              <w:pStyle w:val="24"/>
              <w:widowControl w:val="0"/>
              <w:ind w:firstLine="420"/>
              <w:jc w:val="center"/>
              <w:rPr>
                <w:rFonts w:hint="default" w:ascii="宋体" w:hAnsi="宋体" w:eastAsia="宋体" w:cs="Times New Roman"/>
                <w:lang w:val="en-US" w:eastAsia="zh-CN"/>
              </w:rPr>
            </w:pPr>
            <w:r>
              <w:rPr>
                <w:rFonts w:hint="default" w:ascii="宋体" w:hAnsi="宋体" w:eastAsia="宋体" w:cs="Times New Roman"/>
                <w:lang w:val="en-US" w:eastAsia="zh-CN"/>
              </w:rPr>
              <w:t>8天</w:t>
            </w:r>
          </w:p>
        </w:tc>
      </w:tr>
      <w:tr w14:paraId="35BFBC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0" w:hRule="atLeast"/>
          <w:jc w:val="center"/>
        </w:trPr>
        <w:tc>
          <w:tcPr>
            <w:tcW w:w="4270" w:type="dxa"/>
            <w:tcBorders>
              <w:top w:val="single" w:color="auto" w:sz="4" w:space="0"/>
              <w:left w:val="single" w:color="auto" w:sz="12" w:space="0"/>
              <w:bottom w:val="single" w:color="auto" w:sz="4" w:space="0"/>
              <w:right w:val="single" w:color="auto" w:sz="4" w:space="0"/>
            </w:tcBorders>
            <w:vAlign w:val="center"/>
          </w:tcPr>
          <w:p w14:paraId="3AC0EC4D">
            <w:pPr>
              <w:pStyle w:val="24"/>
              <w:widowControl w:val="0"/>
              <w:ind w:firstLine="420"/>
              <w:jc w:val="center"/>
              <w:rPr>
                <w:rFonts w:hint="default" w:ascii="宋体" w:hAnsi="宋体" w:eastAsia="宋体" w:cs="Times New Roman"/>
                <w:lang w:val="en-US" w:eastAsia="zh-CN"/>
              </w:rPr>
            </w:pPr>
            <w:r>
              <w:rPr>
                <w:rFonts w:hint="default" w:ascii="宋体" w:hAnsi="宋体" w:eastAsia="宋体" w:cs="Times New Roman"/>
                <w:lang w:val="en-US" w:eastAsia="zh-CN"/>
              </w:rPr>
              <w:t>80</w:t>
            </w:r>
          </w:p>
        </w:tc>
        <w:tc>
          <w:tcPr>
            <w:tcW w:w="5294" w:type="dxa"/>
            <w:tcBorders>
              <w:top w:val="single" w:color="auto" w:sz="4" w:space="0"/>
              <w:left w:val="single" w:color="auto" w:sz="4" w:space="0"/>
              <w:bottom w:val="single" w:color="auto" w:sz="4" w:space="0"/>
              <w:right w:val="single" w:color="auto" w:sz="12" w:space="0"/>
            </w:tcBorders>
            <w:vAlign w:val="center"/>
          </w:tcPr>
          <w:p w14:paraId="163621EA">
            <w:pPr>
              <w:pStyle w:val="24"/>
              <w:widowControl w:val="0"/>
              <w:ind w:firstLine="420"/>
              <w:jc w:val="center"/>
              <w:rPr>
                <w:rFonts w:hint="default" w:ascii="宋体" w:hAnsi="宋体" w:eastAsia="宋体" w:cs="Times New Roman"/>
                <w:lang w:val="en-US" w:eastAsia="zh-CN"/>
              </w:rPr>
            </w:pPr>
            <w:r>
              <w:rPr>
                <w:rFonts w:hint="default" w:ascii="宋体" w:hAnsi="宋体" w:eastAsia="宋体" w:cs="Times New Roman"/>
                <w:lang w:val="en-US" w:eastAsia="zh-CN"/>
              </w:rPr>
              <w:t>48h</w:t>
            </w:r>
          </w:p>
        </w:tc>
      </w:tr>
      <w:tr w14:paraId="24E885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0" w:hRule="atLeast"/>
          <w:jc w:val="center"/>
        </w:trPr>
        <w:tc>
          <w:tcPr>
            <w:tcW w:w="4270" w:type="dxa"/>
            <w:tcBorders>
              <w:top w:val="single" w:color="auto" w:sz="4" w:space="0"/>
              <w:left w:val="single" w:color="auto" w:sz="12" w:space="0"/>
              <w:bottom w:val="single" w:color="auto" w:sz="4" w:space="0"/>
              <w:right w:val="single" w:color="auto" w:sz="4" w:space="0"/>
            </w:tcBorders>
            <w:vAlign w:val="center"/>
          </w:tcPr>
          <w:p w14:paraId="17B3AC21">
            <w:pPr>
              <w:pStyle w:val="24"/>
              <w:widowControl w:val="0"/>
              <w:ind w:firstLine="420"/>
              <w:jc w:val="center"/>
              <w:rPr>
                <w:rFonts w:hint="default" w:ascii="宋体" w:hAnsi="宋体" w:eastAsia="宋体" w:cs="Times New Roman"/>
                <w:lang w:val="en-US" w:eastAsia="zh-CN"/>
              </w:rPr>
            </w:pPr>
            <w:r>
              <w:rPr>
                <w:rFonts w:hint="default" w:ascii="宋体" w:hAnsi="宋体" w:eastAsia="宋体" w:cs="Times New Roman"/>
                <w:lang w:val="en-US" w:eastAsia="zh-CN"/>
              </w:rPr>
              <w:t>90</w:t>
            </w:r>
          </w:p>
        </w:tc>
        <w:tc>
          <w:tcPr>
            <w:tcW w:w="5294" w:type="dxa"/>
            <w:tcBorders>
              <w:top w:val="single" w:color="auto" w:sz="4" w:space="0"/>
              <w:left w:val="single" w:color="auto" w:sz="4" w:space="0"/>
              <w:bottom w:val="single" w:color="auto" w:sz="4" w:space="0"/>
              <w:right w:val="single" w:color="auto" w:sz="12" w:space="0"/>
            </w:tcBorders>
            <w:vAlign w:val="center"/>
          </w:tcPr>
          <w:p w14:paraId="62DF2057">
            <w:pPr>
              <w:pStyle w:val="24"/>
              <w:widowControl w:val="0"/>
              <w:ind w:firstLine="420"/>
              <w:jc w:val="center"/>
              <w:rPr>
                <w:rFonts w:hint="default" w:ascii="宋体" w:hAnsi="宋体" w:eastAsia="宋体" w:cs="Times New Roman"/>
                <w:lang w:val="en-US" w:eastAsia="zh-CN"/>
              </w:rPr>
            </w:pPr>
            <w:r>
              <w:rPr>
                <w:rFonts w:hint="default" w:ascii="宋体" w:hAnsi="宋体" w:eastAsia="宋体" w:cs="Times New Roman"/>
                <w:lang w:val="en-US" w:eastAsia="zh-CN"/>
              </w:rPr>
              <w:t>24h</w:t>
            </w:r>
          </w:p>
        </w:tc>
      </w:tr>
      <w:tr w14:paraId="4DE8E3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0" w:hRule="atLeast"/>
          <w:jc w:val="center"/>
        </w:trPr>
        <w:tc>
          <w:tcPr>
            <w:tcW w:w="4270" w:type="dxa"/>
            <w:tcBorders>
              <w:top w:val="single" w:color="auto" w:sz="4" w:space="0"/>
              <w:left w:val="single" w:color="auto" w:sz="12" w:space="0"/>
              <w:bottom w:val="single" w:color="auto" w:sz="12" w:space="0"/>
              <w:right w:val="single" w:color="auto" w:sz="4" w:space="0"/>
            </w:tcBorders>
            <w:vAlign w:val="center"/>
          </w:tcPr>
          <w:p w14:paraId="076379F4">
            <w:pPr>
              <w:pStyle w:val="24"/>
              <w:widowControl w:val="0"/>
              <w:ind w:firstLine="420"/>
              <w:jc w:val="center"/>
              <w:rPr>
                <w:rFonts w:hint="default" w:ascii="宋体" w:hAnsi="宋体" w:eastAsia="宋体" w:cs="Times New Roman"/>
                <w:lang w:val="en-US" w:eastAsia="zh-CN"/>
              </w:rPr>
            </w:pPr>
            <w:r>
              <w:rPr>
                <w:rFonts w:hint="default" w:ascii="宋体" w:hAnsi="宋体" w:eastAsia="宋体" w:cs="Times New Roman"/>
                <w:lang w:val="en-US" w:eastAsia="zh-CN"/>
              </w:rPr>
              <w:t>100</w:t>
            </w:r>
          </w:p>
        </w:tc>
        <w:tc>
          <w:tcPr>
            <w:tcW w:w="5294" w:type="dxa"/>
            <w:tcBorders>
              <w:top w:val="single" w:color="auto" w:sz="4" w:space="0"/>
              <w:left w:val="single" w:color="auto" w:sz="4" w:space="0"/>
              <w:bottom w:val="single" w:color="auto" w:sz="12" w:space="0"/>
              <w:right w:val="single" w:color="auto" w:sz="12" w:space="0"/>
            </w:tcBorders>
            <w:vAlign w:val="center"/>
          </w:tcPr>
          <w:p w14:paraId="0E4A27E3">
            <w:pPr>
              <w:pStyle w:val="24"/>
              <w:widowControl w:val="0"/>
              <w:ind w:firstLine="420"/>
              <w:jc w:val="center"/>
              <w:rPr>
                <w:rFonts w:hint="default" w:ascii="宋体" w:hAnsi="宋体" w:eastAsia="宋体" w:cs="Times New Roman"/>
                <w:lang w:val="en-US" w:eastAsia="zh-CN"/>
              </w:rPr>
            </w:pPr>
            <w:r>
              <w:rPr>
                <w:rFonts w:hint="default" w:ascii="宋体" w:hAnsi="宋体" w:eastAsia="宋体" w:cs="Times New Roman"/>
                <w:lang w:val="en-US" w:eastAsia="zh-CN"/>
              </w:rPr>
              <w:t>16h</w:t>
            </w:r>
          </w:p>
        </w:tc>
      </w:tr>
    </w:tbl>
    <w:p w14:paraId="48F6C1BA">
      <w:pPr>
        <w:rPr>
          <w:rStyle w:val="20"/>
          <w:rFonts w:hint="eastAsia" w:cs="宋体"/>
          <w:b w:val="0"/>
          <w:bCs/>
          <w:color w:val="404040"/>
          <w:szCs w:val="21"/>
        </w:rPr>
      </w:pPr>
    </w:p>
    <w:p w14:paraId="55B44453">
      <w:pPr>
        <w:rPr>
          <w:rStyle w:val="20"/>
          <w:rFonts w:hint="eastAsia" w:cs="宋体"/>
          <w:b w:val="0"/>
          <w:bCs/>
          <w:color w:val="404040"/>
          <w:szCs w:val="21"/>
        </w:rPr>
      </w:pPr>
      <w:r>
        <w:rPr>
          <w:rFonts w:hint="eastAsia"/>
        </w:rPr>
        <mc:AlternateContent>
          <mc:Choice Requires="wps">
            <w:drawing>
              <wp:anchor distT="0" distB="0" distL="114300" distR="114300" simplePos="0" relativeHeight="251663360" behindDoc="0" locked="0" layoutInCell="1" allowOverlap="1">
                <wp:simplePos x="0" y="0"/>
                <wp:positionH relativeFrom="column">
                  <wp:posOffset>2287905</wp:posOffset>
                </wp:positionH>
                <wp:positionV relativeFrom="paragraph">
                  <wp:posOffset>8890</wp:posOffset>
                </wp:positionV>
                <wp:extent cx="1422400" cy="0"/>
                <wp:effectExtent l="0" t="4445" r="0" b="5080"/>
                <wp:wrapNone/>
                <wp:docPr id="6" name="Line 116"/>
                <wp:cNvGraphicFramePr/>
                <a:graphic xmlns:a="http://schemas.openxmlformats.org/drawingml/2006/main">
                  <a:graphicData uri="http://schemas.microsoft.com/office/word/2010/wordprocessingShape">
                    <wps:wsp>
                      <wps:cNvCnPr>
                        <a:cxnSpLocks noChangeShapeType="1"/>
                      </wps:cNvCnPr>
                      <wps:spPr bwMode="auto">
                        <a:xfrm>
                          <a:off x="0" y="0"/>
                          <a:ext cx="1422400" cy="0"/>
                        </a:xfrm>
                        <a:prstGeom prst="line">
                          <a:avLst/>
                        </a:prstGeom>
                        <a:noFill/>
                        <a:ln w="9525">
                          <a:solidFill>
                            <a:srgbClr val="000000"/>
                          </a:solidFill>
                          <a:round/>
                        </a:ln>
                      </wps:spPr>
                      <wps:bodyPr/>
                    </wps:wsp>
                  </a:graphicData>
                </a:graphic>
              </wp:anchor>
            </w:drawing>
          </mc:Choice>
          <mc:Fallback>
            <w:pict>
              <v:line id="Line 116" o:spid="_x0000_s1026" o:spt="20" style="position:absolute;left:0pt;margin-left:180.15pt;margin-top:0.7pt;height:0pt;width:112pt;z-index:251663360;mso-width-relative:page;mso-height-relative:page;" filled="f" stroked="t" coordsize="21600,21600" o:gfxdata="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KsVjc7TAAAABwEAAA8AAAAAAAAAAQAgAAAAIgAAAGRycy9kb3du&#10;cmV2LnhtbFBLAQIUABQAAAAIAIdO4kBPQkRMywEAAKEDAAAOAAAAAAAAAAEAIAAAACIBAABkcnMv&#10;ZTJvRG9jLnhtbFBLBQYAAAAABgAGAFkBAABfBQAAAAA=&#10;">
                <v:fill on="f" focussize="0,0"/>
                <v:stroke color="#000000" joinstyle="round"/>
                <v:imagedata o:title=""/>
                <o:lock v:ext="edit" aspectratio="f"/>
              </v:line>
            </w:pict>
          </mc:Fallback>
        </mc:AlternateContent>
      </w:r>
    </w:p>
    <w:p w14:paraId="277AF0BD">
      <w:pPr>
        <w:rPr>
          <w:rStyle w:val="20"/>
          <w:rFonts w:hint="eastAsia" w:cs="宋体"/>
          <w:b w:val="0"/>
          <w:bCs/>
          <w:color w:val="404040"/>
          <w:szCs w:val="21"/>
        </w:rPr>
        <w:sectPr>
          <w:headerReference r:id="rId21" w:type="first"/>
          <w:footerReference r:id="rId22" w:type="first"/>
          <w:pgSz w:w="11906" w:h="16838"/>
          <w:pgMar w:top="1418" w:right="1134" w:bottom="1134" w:left="1418" w:header="1417" w:footer="1134" w:gutter="0"/>
          <w:pgBorders>
            <w:top w:val="none" w:sz="0" w:space="0"/>
            <w:left w:val="none" w:sz="0" w:space="0"/>
            <w:bottom w:val="none" w:sz="0" w:space="0"/>
            <w:right w:val="none" w:sz="0" w:space="0"/>
          </w:pgBorders>
          <w:cols w:space="425" w:num="1"/>
          <w:titlePg/>
          <w:docGrid w:type="lines" w:linePitch="312" w:charSpace="0"/>
        </w:sectPr>
      </w:pPr>
    </w:p>
    <w:p w14:paraId="71E2F8A4">
      <w:pPr>
        <w:jc w:val="center"/>
        <w:rPr>
          <w:rFonts w:hint="eastAsia" w:ascii="Times New Roman"/>
          <w:szCs w:val="21"/>
        </w:rPr>
      </w:pPr>
      <w:r>
        <w:rPr>
          <w:rFonts w:hint="eastAsia" w:ascii="Times New Roman"/>
          <w:szCs w:val="21"/>
        </w:rPr>
        <mc:AlternateContent>
          <mc:Choice Requires="wps">
            <w:drawing>
              <wp:anchor distT="0" distB="0" distL="114300" distR="114300" simplePos="0" relativeHeight="251662336" behindDoc="0" locked="0" layoutInCell="1" allowOverlap="1">
                <wp:simplePos x="0" y="0"/>
                <wp:positionH relativeFrom="column">
                  <wp:posOffset>5972810</wp:posOffset>
                </wp:positionH>
                <wp:positionV relativeFrom="paragraph">
                  <wp:posOffset>3810</wp:posOffset>
                </wp:positionV>
                <wp:extent cx="476250" cy="1485900"/>
                <wp:effectExtent l="0" t="0" r="0" b="0"/>
                <wp:wrapNone/>
                <wp:docPr id="156267049" name="文本框 2"/>
                <wp:cNvGraphicFramePr/>
                <a:graphic xmlns:a="http://schemas.openxmlformats.org/drawingml/2006/main">
                  <a:graphicData uri="http://schemas.microsoft.com/office/word/2010/wordprocessingShape">
                    <wps:wsp>
                      <wps:cNvSpPr txBox="1"/>
                      <wps:spPr>
                        <a:xfrm>
                          <a:off x="0" y="0"/>
                          <a:ext cx="476250" cy="1485900"/>
                        </a:xfrm>
                        <a:prstGeom prst="rect">
                          <a:avLst/>
                        </a:prstGeom>
                        <a:noFill/>
                        <a:ln w="6350">
                          <a:noFill/>
                        </a:ln>
                      </wps:spPr>
                      <wps:txbx>
                        <w:txbxContent>
                          <w:p w14:paraId="5E90B020">
                            <w:pPr>
                              <w:rPr>
                                <w:rFonts w:hint="eastAsia"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T/CSICE XXX-XXX</w:t>
                            </w:r>
                          </w:p>
                        </w:txbxContent>
                      </wps:txbx>
                      <wps:bodyPr rot="0" spcFirstLastPara="0" vertOverflow="overflow" horzOverflow="overflow" vert="vert270" wrap="square" lIns="91440" tIns="45720" rIns="91440" bIns="45720" numCol="1" spcCol="0" rtlCol="0" fromWordArt="0" anchor="t" anchorCtr="0" forceAA="0" compatLnSpc="1">
                        <a:noAutofit/>
                      </wps:bodyPr>
                    </wps:wsp>
                  </a:graphicData>
                </a:graphic>
              </wp:anchor>
            </w:drawing>
          </mc:Choice>
          <mc:Fallback>
            <w:pict>
              <v:shape id="文本框 2" o:spid="_x0000_s1026" o:spt="202" type="#_x0000_t202" style="position:absolute;left:0pt;margin-left:470.3pt;margin-top:0.3pt;height:117pt;width:37.5pt;z-index:251662336;mso-width-relative:page;mso-height-relative:page;" filled="f" stroked="f" coordsize="21600,21600" o:gfxdata="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HomQrdkAAAAJAQAADwAAAAAAAAABACAAAAAi&#10;AAAAZHJzL2Rvd25yZXYueG1sUEsBAhQAFAAAAAgAh07iQClkmxlCAgAAcQQAAA4AAAAAAAAAAQAg&#10;AAAAKAEAAGRycy9lMm9Eb2MueG1sUEsFBgAAAAAGAAYAWQEAANwFAAAAAA==&#10;">
                <v:fill on="f" focussize="0,0"/>
                <v:stroke on="f" weight="0.5pt"/>
                <v:imagedata o:title=""/>
                <o:lock v:ext="edit" aspectratio="f"/>
                <v:textbox style="layout-flow:vertical;mso-layout-flow-alt:bottom-to-top;">
                  <w:txbxContent>
                    <w:p w14:paraId="5E90B020">
                      <w:pPr>
                        <w:rPr>
                          <w:rFonts w:hint="eastAsia"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T/CSICE XXX-XXX</w:t>
                      </w:r>
                    </w:p>
                  </w:txbxContent>
                </v:textbox>
              </v:shape>
            </w:pict>
          </mc:Fallback>
        </mc:AlternateContent>
      </w:r>
    </w:p>
    <w:p w14:paraId="2B699168">
      <w:pPr>
        <w:pStyle w:val="24"/>
        <w:ind w:firstLine="0" w:firstLineChars="0"/>
        <w:rPr>
          <w:rFonts w:hint="eastAsia"/>
        </w:rPr>
      </w:pPr>
    </w:p>
    <w:p w14:paraId="3FD36E74">
      <w:pPr>
        <w:rPr>
          <w:rFonts w:hint="eastAsia"/>
        </w:rPr>
      </w:pPr>
    </w:p>
    <w:sectPr>
      <w:headerReference r:id="rId23" w:type="first"/>
      <w:footerReference r:id="rId24" w:type="first"/>
      <w:pgSz w:w="11906" w:h="16838"/>
      <w:pgMar w:top="1418" w:right="1134" w:bottom="1134" w:left="1418" w:header="1418" w:footer="1134" w:gutter="0"/>
      <w:pgBorders>
        <w:top w:val="none" w:sz="0" w:space="0"/>
        <w:left w:val="none" w:sz="0" w:space="0"/>
        <w:bottom w:val="none" w:sz="0" w:space="0"/>
        <w:right w:val="none" w:sz="0" w:space="0"/>
      </w:pgBorders>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7FD66">
    <w:pPr>
      <w:pStyle w:val="10"/>
      <w:rPr>
        <w:rFonts w:hint="eastAsia"/>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8819354"/>
      <w:docPartObj>
        <w:docPartGallery w:val="autotext"/>
      </w:docPartObj>
    </w:sdtPr>
    <w:sdtContent>
      <w:p w14:paraId="413510CC">
        <w:pPr>
          <w:pStyle w:val="58"/>
          <w:ind w:left="0" w:right="227"/>
          <w:jc w:val="right"/>
          <w:rPr>
            <w:rFonts w:hint="eastAsia"/>
          </w:rPr>
        </w:pPr>
        <w:r>
          <w:fldChar w:fldCharType="begin"/>
        </w:r>
        <w:r>
          <w:instrText xml:space="preserve">PAGE   \* MERGEFORMAT</w:instrText>
        </w:r>
        <w:r>
          <w:fldChar w:fldCharType="separate"/>
        </w:r>
        <w:r>
          <w:rPr>
            <w:lang w:val="zh-CN"/>
          </w:rPr>
          <w:t>2</w:t>
        </w:r>
        <w:r>
          <w:fldChar w:fldCharType="end"/>
        </w:r>
      </w:p>
    </w:sdtContent>
  </w:sdt>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1E614">
    <w:pPr>
      <w:ind w:left="227"/>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39855556"/>
      <w:docPartObj>
        <w:docPartGallery w:val="autotext"/>
      </w:docPartObj>
    </w:sdtPr>
    <w:sdtContent>
      <w:p w14:paraId="3705EFED">
        <w:pPr>
          <w:pStyle w:val="58"/>
          <w:rPr>
            <w:rFonts w:hint="eastAsia"/>
          </w:rPr>
        </w:pPr>
        <w:r>
          <w:fldChar w:fldCharType="begin"/>
        </w:r>
        <w:r>
          <w:rPr>
            <w:rFonts w:hint="eastAsia"/>
          </w:rPr>
          <w:instrText xml:space="preserve">PAGE   \* MERGEFORMAT</w:instrText>
        </w:r>
        <w:r>
          <w:fldChar w:fldCharType="separate"/>
        </w:r>
        <w:r>
          <w:rPr>
            <w:rFonts w:hint="eastAsia"/>
            <w:lang w:val="zh-CN"/>
          </w:rPr>
          <w:t>2</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5D3FEC">
    <w:pPr>
      <w:pStyle w:val="10"/>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47049363"/>
    </w:sdtPr>
    <w:sdtContent>
      <w:p w14:paraId="5FC28E7D">
        <w:pPr>
          <w:pStyle w:val="57"/>
          <w:rPr>
            <w:rFonts w:hint="eastAsia"/>
          </w:rPr>
        </w:pPr>
        <w:r>
          <w:rPr>
            <w:rFonts w:hint="eastAsia"/>
          </w:rPr>
          <w:fldChar w:fldCharType="begin"/>
        </w:r>
        <w:r>
          <w:rPr>
            <w:rFonts w:hint="eastAsia"/>
          </w:rPr>
          <w:instrText xml:space="preserve"> PAGE  \* Arabic  \* MERGEFORMAT </w:instrText>
        </w:r>
        <w:r>
          <w:rPr>
            <w:rFonts w:hint="eastAsia"/>
          </w:rPr>
          <w:fldChar w:fldCharType="separate"/>
        </w:r>
        <w:r>
          <w:rPr>
            <w:rFonts w:hint="eastAsia"/>
          </w:rPr>
          <w:t>2</w:t>
        </w:r>
        <w:r>
          <w:rPr>
            <w:rFonts w:hint="eastAsia"/>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6ED24">
    <w:pPr>
      <w:ind w:right="227"/>
      <w:jc w:val="right"/>
      <w:rPr>
        <w:rFonts w:hint="eastAsi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4787141"/>
      <w:docPartObj>
        <w:docPartGallery w:val="autotext"/>
      </w:docPartObj>
    </w:sdtPr>
    <w:sdtContent>
      <w:p w14:paraId="09ED8C91">
        <w:pPr>
          <w:pStyle w:val="58"/>
          <w:rPr>
            <w:rFonts w:hint="eastAsia"/>
          </w:rPr>
        </w:pPr>
        <w:r>
          <w:fldChar w:fldCharType="begin"/>
        </w:r>
        <w:r>
          <w:rPr>
            <w:rFonts w:hint="eastAsia"/>
          </w:rPr>
          <w:instrText xml:space="preserve">PAGE   \* MERGEFORMAT</w:instrText>
        </w:r>
        <w:r>
          <w:fldChar w:fldCharType="separate"/>
        </w:r>
        <w:r>
          <w:rPr>
            <w:rFonts w:hint="eastAsia"/>
            <w:lang w:val="zh-CN"/>
          </w:rPr>
          <w:t>2</w:t>
        </w:r>
        <w: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33139548"/>
      <w:docPartObj>
        <w:docPartGallery w:val="autotext"/>
      </w:docPartObj>
    </w:sdtPr>
    <w:sdtContent>
      <w:p w14:paraId="2E9E7E66">
        <w:pPr>
          <w:pStyle w:val="57"/>
          <w:ind w:left="227" w:right="0"/>
          <w:jc w:val="left"/>
          <w:rPr>
            <w:rFonts w:hint="eastAsia"/>
          </w:rPr>
        </w:pPr>
        <w:r>
          <w:fldChar w:fldCharType="begin"/>
        </w:r>
        <w:r>
          <w:rPr>
            <w:rFonts w:hint="eastAsia"/>
          </w:rPr>
          <w:instrText xml:space="preserve">PAGE   \* MERGEFORMAT</w:instrText>
        </w:r>
        <w:r>
          <w:fldChar w:fldCharType="separate"/>
        </w:r>
        <w:r>
          <w:rPr>
            <w:rFonts w:hint="eastAsia"/>
            <w:lang w:val="zh-CN"/>
          </w:rPr>
          <w:t>2</w:t>
        </w:r>
        <w: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78775624"/>
    </w:sdtPr>
    <w:sdtContent>
      <w:p w14:paraId="26E7BE02">
        <w:pPr>
          <w:pStyle w:val="58"/>
          <w:rPr>
            <w:rFonts w:hint="eastAsia"/>
          </w:rPr>
        </w:pPr>
        <w:r>
          <w:fldChar w:fldCharType="begin"/>
        </w:r>
        <w:r>
          <w:instrText xml:space="preserve">PAGE   \* MERGEFORMAT</w:instrText>
        </w:r>
        <w:r>
          <w:fldChar w:fldCharType="separate"/>
        </w:r>
        <w:r>
          <w:rPr>
            <w:lang w:val="zh-CN"/>
          </w:rPr>
          <w:t>2</w:t>
        </w:r>
        <w:r>
          <w:fldChar w:fldCharType="end"/>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68540983"/>
    </w:sdtPr>
    <w:sdtContent>
      <w:p w14:paraId="49D59088">
        <w:pPr>
          <w:pStyle w:val="57"/>
          <w:rPr>
            <w:rFonts w:hint="eastAsia"/>
          </w:rP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3A7DA">
    <w:pPr>
      <w:pStyle w:val="11"/>
      <w:rPr>
        <w:rFonts w:hint="eastAsia"/>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5E210">
    <w:pPr>
      <w:pStyle w:val="25"/>
      <w:spacing w:after="284"/>
      <w:rPr>
        <w:rFonts w:hint="eastAsia"/>
      </w:rPr>
    </w:pPr>
    <w:r>
      <w:rPr>
        <w:rFonts w:hint="eastAsia"/>
      </w:rPr>
      <w:t>T/CSICE XXX-XXX</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0C788">
    <w:pP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D1CB9">
    <w:pPr>
      <w:pStyle w:val="25"/>
      <w:rPr>
        <w:rFonts w:hint="eastAsia"/>
      </w:rPr>
    </w:pPr>
    <w:r>
      <w:rPr>
        <w:rFonts w:hint="eastAsia"/>
      </w:rPr>
      <w:t>T/CSICE 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269306">
    <w:pPr>
      <w:jc w:val="right"/>
      <w:rPr>
        <w:rFonts w:hint="eastAsia" w:ascii="黑体" w:hAnsi="黑体" w:eastAsia="黑体"/>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6B649">
    <w:pPr>
      <w:jc w:val="right"/>
      <w:rPr>
        <w:rFonts w:hint="eastAsia" w:ascii="黑体" w:hAnsi="黑体" w:eastAsia="黑体"/>
        <w:szCs w:val="21"/>
      </w:rPr>
    </w:pPr>
    <w:r>
      <w:rPr>
        <w:rFonts w:hint="eastAsia" w:ascii="黑体" w:hAnsi="黑体" w:eastAsia="黑体"/>
        <w:szCs w:val="21"/>
      </w:rPr>
      <w:t>T/CSICE XXX-XXX</w:t>
    </w:r>
  </w:p>
  <w:p w14:paraId="66EBBB8D">
    <w:pPr>
      <w:pStyle w:val="45"/>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5CF04">
    <w:pPr>
      <w:rPr>
        <w:rFonts w:hint="eastAsia"/>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731CB">
    <w:pPr>
      <w:pStyle w:val="45"/>
      <w:jc w:val="left"/>
      <w:rPr>
        <w:rFonts w:hint="eastAsia"/>
      </w:rPr>
    </w:pPr>
    <w:r>
      <w:rPr>
        <w:rFonts w:hint="eastAsia"/>
      </w:rPr>
      <w:t>T/CSICE XXX-XXX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1BEAF">
    <w:pPr>
      <w:pStyle w:val="45"/>
      <w:spacing w:after="284"/>
      <w:rPr>
        <w:rFonts w:hint="eastAsia"/>
      </w:rPr>
    </w:pPr>
    <w:r>
      <w:rPr>
        <w:rFonts w:hint="eastAsia"/>
      </w:rPr>
      <w:t>T/CSICE XXX-XXX</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ADBEC">
    <w:pPr>
      <w:pStyle w:val="25"/>
      <w:spacing w:after="284"/>
      <w:rPr>
        <w:rFonts w:hint="eastAsia"/>
      </w:rPr>
    </w:pPr>
    <w:r>
      <w:rPr>
        <w:rFonts w:hint="eastAsia"/>
      </w:rPr>
      <w:t>T/CSICE XXX-XXX</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15261">
    <w:pPr>
      <w:pStyle w:val="45"/>
      <w:spacing w:after="284"/>
      <w:rPr>
        <w:rFonts w:hint="eastAsia"/>
      </w:rPr>
    </w:pPr>
    <w:r>
      <w:rPr>
        <w:rFonts w:hint="eastAsia"/>
      </w:rPr>
      <w:t>T/CSICE 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6260FA"/>
    <w:multiLevelType w:val="multilevel"/>
    <w:tmpl w:val="646260FA"/>
    <w:lvl w:ilvl="0" w:tentative="0">
      <w:start w:val="1"/>
      <w:numFmt w:val="decimal"/>
      <w:suff w:val="nothing"/>
      <w:lvlText w:val="表%1　"/>
      <w:lvlJc w:val="left"/>
      <w:pPr>
        <w:ind w:left="1560" w:firstLine="0"/>
      </w:pPr>
      <w:rPr>
        <w:rFonts w:hint="eastAsia" w:ascii="黑体" w:hAnsi="Times New Roman" w:eastAsia="黑体"/>
        <w:b w:val="0"/>
        <w:i w:val="0"/>
        <w:sz w:val="21"/>
      </w:rPr>
    </w:lvl>
    <w:lvl w:ilvl="1" w:tentative="0">
      <w:start w:val="1"/>
      <w:numFmt w:val="decimal"/>
      <w:lvlText w:val="%1.%2"/>
      <w:lvlJc w:val="left"/>
      <w:pPr>
        <w:tabs>
          <w:tab w:val="left" w:pos="2552"/>
        </w:tabs>
        <w:ind w:left="2552" w:hanging="567"/>
      </w:pPr>
      <w:rPr>
        <w:rFonts w:hint="eastAsia"/>
      </w:rPr>
    </w:lvl>
    <w:lvl w:ilvl="2" w:tentative="0">
      <w:start w:val="1"/>
      <w:numFmt w:val="decimal"/>
      <w:lvlText w:val="%1.%2.%3"/>
      <w:lvlJc w:val="left"/>
      <w:pPr>
        <w:tabs>
          <w:tab w:val="left" w:pos="2978"/>
        </w:tabs>
        <w:ind w:left="2978" w:hanging="567"/>
      </w:pPr>
      <w:rPr>
        <w:rFonts w:hint="eastAsia"/>
      </w:rPr>
    </w:lvl>
    <w:lvl w:ilvl="3" w:tentative="0">
      <w:start w:val="1"/>
      <w:numFmt w:val="decimal"/>
      <w:lvlText w:val="%1.%2.%3.%4"/>
      <w:lvlJc w:val="left"/>
      <w:pPr>
        <w:tabs>
          <w:tab w:val="left" w:pos="3544"/>
        </w:tabs>
        <w:ind w:left="3544" w:hanging="708"/>
      </w:pPr>
      <w:rPr>
        <w:rFonts w:hint="eastAsia"/>
      </w:rPr>
    </w:lvl>
    <w:lvl w:ilvl="4" w:tentative="0">
      <w:start w:val="1"/>
      <w:numFmt w:val="decimal"/>
      <w:lvlText w:val="%1.%2.%3.%4.%5"/>
      <w:lvlJc w:val="left"/>
      <w:pPr>
        <w:tabs>
          <w:tab w:val="left" w:pos="4111"/>
        </w:tabs>
        <w:ind w:left="4111" w:hanging="850"/>
      </w:pPr>
      <w:rPr>
        <w:rFonts w:hint="eastAsia"/>
      </w:rPr>
    </w:lvl>
    <w:lvl w:ilvl="5" w:tentative="0">
      <w:start w:val="1"/>
      <w:numFmt w:val="decimal"/>
      <w:lvlText w:val="%1.%2.%3.%4.%5.%6"/>
      <w:lvlJc w:val="left"/>
      <w:pPr>
        <w:tabs>
          <w:tab w:val="left" w:pos="4820"/>
        </w:tabs>
        <w:ind w:left="4820" w:hanging="1134"/>
      </w:pPr>
      <w:rPr>
        <w:rFonts w:hint="eastAsia"/>
      </w:rPr>
    </w:lvl>
    <w:lvl w:ilvl="6" w:tentative="0">
      <w:start w:val="1"/>
      <w:numFmt w:val="decimal"/>
      <w:lvlText w:val="%1.%2.%3.%4.%5.%6.%7"/>
      <w:lvlJc w:val="left"/>
      <w:pPr>
        <w:tabs>
          <w:tab w:val="left" w:pos="5387"/>
        </w:tabs>
        <w:ind w:left="5387" w:hanging="1276"/>
      </w:pPr>
      <w:rPr>
        <w:rFonts w:hint="eastAsia"/>
      </w:rPr>
    </w:lvl>
    <w:lvl w:ilvl="7" w:tentative="0">
      <w:start w:val="1"/>
      <w:numFmt w:val="decimal"/>
      <w:lvlText w:val="%1.%2.%3.%4.%5.%6.%7.%8"/>
      <w:lvlJc w:val="left"/>
      <w:pPr>
        <w:tabs>
          <w:tab w:val="left" w:pos="5954"/>
        </w:tabs>
        <w:ind w:left="5954" w:hanging="1418"/>
      </w:pPr>
      <w:rPr>
        <w:rFonts w:hint="eastAsia"/>
      </w:rPr>
    </w:lvl>
    <w:lvl w:ilvl="8" w:tentative="0">
      <w:start w:val="1"/>
      <w:numFmt w:val="decimal"/>
      <w:lvlText w:val="%1.%2.%3.%4.%5.%6.%7.%8.%9"/>
      <w:lvlJc w:val="left"/>
      <w:pPr>
        <w:tabs>
          <w:tab w:val="left" w:pos="6662"/>
        </w:tabs>
        <w:ind w:left="666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UwZjBiNjgxZjRhYmQ0N2JkMGQ3YmZkZjNmZWE5ZWQifQ=="/>
  </w:docVars>
  <w:rsids>
    <w:rsidRoot w:val="00B726FA"/>
    <w:rsid w:val="000008AE"/>
    <w:rsid w:val="00000B77"/>
    <w:rsid w:val="00017FA5"/>
    <w:rsid w:val="00023CBF"/>
    <w:rsid w:val="00026F61"/>
    <w:rsid w:val="00031B1F"/>
    <w:rsid w:val="00036D03"/>
    <w:rsid w:val="00037050"/>
    <w:rsid w:val="00047E8A"/>
    <w:rsid w:val="00053812"/>
    <w:rsid w:val="0005460C"/>
    <w:rsid w:val="000610C3"/>
    <w:rsid w:val="00061F1E"/>
    <w:rsid w:val="000646A5"/>
    <w:rsid w:val="0007018A"/>
    <w:rsid w:val="00071086"/>
    <w:rsid w:val="000836DF"/>
    <w:rsid w:val="000859ED"/>
    <w:rsid w:val="000906FA"/>
    <w:rsid w:val="00091DAD"/>
    <w:rsid w:val="00097670"/>
    <w:rsid w:val="000B0CC7"/>
    <w:rsid w:val="000B6AD2"/>
    <w:rsid w:val="000C7A74"/>
    <w:rsid w:val="000D137F"/>
    <w:rsid w:val="000D13FE"/>
    <w:rsid w:val="000D3B4E"/>
    <w:rsid w:val="000D4D28"/>
    <w:rsid w:val="000D6BE0"/>
    <w:rsid w:val="000D7BF0"/>
    <w:rsid w:val="000E13C1"/>
    <w:rsid w:val="000E19D1"/>
    <w:rsid w:val="000E1A27"/>
    <w:rsid w:val="000E6263"/>
    <w:rsid w:val="000E77B6"/>
    <w:rsid w:val="000F340C"/>
    <w:rsid w:val="0010124A"/>
    <w:rsid w:val="00104988"/>
    <w:rsid w:val="00105868"/>
    <w:rsid w:val="00105977"/>
    <w:rsid w:val="00105F99"/>
    <w:rsid w:val="00106B7F"/>
    <w:rsid w:val="00111C88"/>
    <w:rsid w:val="00114748"/>
    <w:rsid w:val="0012462F"/>
    <w:rsid w:val="001255D7"/>
    <w:rsid w:val="001270FF"/>
    <w:rsid w:val="0012721D"/>
    <w:rsid w:val="00127B04"/>
    <w:rsid w:val="00136932"/>
    <w:rsid w:val="00137389"/>
    <w:rsid w:val="001378F8"/>
    <w:rsid w:val="001413B7"/>
    <w:rsid w:val="00141C55"/>
    <w:rsid w:val="0014380A"/>
    <w:rsid w:val="00145C43"/>
    <w:rsid w:val="00146756"/>
    <w:rsid w:val="0015688F"/>
    <w:rsid w:val="00156F18"/>
    <w:rsid w:val="00160E3E"/>
    <w:rsid w:val="001648AC"/>
    <w:rsid w:val="00165178"/>
    <w:rsid w:val="001666DE"/>
    <w:rsid w:val="00171505"/>
    <w:rsid w:val="00171585"/>
    <w:rsid w:val="00181E7E"/>
    <w:rsid w:val="00184A07"/>
    <w:rsid w:val="00184F39"/>
    <w:rsid w:val="001855EA"/>
    <w:rsid w:val="00186714"/>
    <w:rsid w:val="00190AC9"/>
    <w:rsid w:val="00191797"/>
    <w:rsid w:val="00192F64"/>
    <w:rsid w:val="001A1031"/>
    <w:rsid w:val="001A1FCC"/>
    <w:rsid w:val="001B1B6B"/>
    <w:rsid w:val="001C2B28"/>
    <w:rsid w:val="001C2D6A"/>
    <w:rsid w:val="001C375C"/>
    <w:rsid w:val="001C5952"/>
    <w:rsid w:val="001C5EDF"/>
    <w:rsid w:val="001D0B33"/>
    <w:rsid w:val="001D0C0F"/>
    <w:rsid w:val="001D1F68"/>
    <w:rsid w:val="001D5653"/>
    <w:rsid w:val="001D58B4"/>
    <w:rsid w:val="001D7761"/>
    <w:rsid w:val="001D7C84"/>
    <w:rsid w:val="001E1826"/>
    <w:rsid w:val="001E3C2B"/>
    <w:rsid w:val="001E47A4"/>
    <w:rsid w:val="001F28D7"/>
    <w:rsid w:val="001F2BE4"/>
    <w:rsid w:val="001F43C5"/>
    <w:rsid w:val="001F69BE"/>
    <w:rsid w:val="001F7E86"/>
    <w:rsid w:val="00200669"/>
    <w:rsid w:val="00200AF3"/>
    <w:rsid w:val="00202651"/>
    <w:rsid w:val="0020354D"/>
    <w:rsid w:val="002041C9"/>
    <w:rsid w:val="00207D9E"/>
    <w:rsid w:val="00212AAA"/>
    <w:rsid w:val="00223C7A"/>
    <w:rsid w:val="0022407F"/>
    <w:rsid w:val="00224C2A"/>
    <w:rsid w:val="00234A78"/>
    <w:rsid w:val="002363E4"/>
    <w:rsid w:val="00236879"/>
    <w:rsid w:val="002434DA"/>
    <w:rsid w:val="00253011"/>
    <w:rsid w:val="00254905"/>
    <w:rsid w:val="002602A7"/>
    <w:rsid w:val="00262753"/>
    <w:rsid w:val="00262EB4"/>
    <w:rsid w:val="002662EA"/>
    <w:rsid w:val="002679A7"/>
    <w:rsid w:val="0027609B"/>
    <w:rsid w:val="00276F11"/>
    <w:rsid w:val="00280358"/>
    <w:rsid w:val="002824F9"/>
    <w:rsid w:val="002851E4"/>
    <w:rsid w:val="00286BE6"/>
    <w:rsid w:val="002909F9"/>
    <w:rsid w:val="00292534"/>
    <w:rsid w:val="00294568"/>
    <w:rsid w:val="00295DA9"/>
    <w:rsid w:val="002A1DB8"/>
    <w:rsid w:val="002A51FB"/>
    <w:rsid w:val="002A68B6"/>
    <w:rsid w:val="002B2FAB"/>
    <w:rsid w:val="002B2FBC"/>
    <w:rsid w:val="002B3332"/>
    <w:rsid w:val="002B431A"/>
    <w:rsid w:val="002C1FFB"/>
    <w:rsid w:val="002C57CD"/>
    <w:rsid w:val="002C71DE"/>
    <w:rsid w:val="002C79F6"/>
    <w:rsid w:val="002D0474"/>
    <w:rsid w:val="002D1346"/>
    <w:rsid w:val="002D1975"/>
    <w:rsid w:val="002D2DDD"/>
    <w:rsid w:val="002D379C"/>
    <w:rsid w:val="002D4A6F"/>
    <w:rsid w:val="002D7C4D"/>
    <w:rsid w:val="002E3C54"/>
    <w:rsid w:val="002E3E2E"/>
    <w:rsid w:val="002E43C9"/>
    <w:rsid w:val="002E4482"/>
    <w:rsid w:val="002E4546"/>
    <w:rsid w:val="002E6134"/>
    <w:rsid w:val="002E6D56"/>
    <w:rsid w:val="002F223F"/>
    <w:rsid w:val="003078D7"/>
    <w:rsid w:val="003105FC"/>
    <w:rsid w:val="00314CCA"/>
    <w:rsid w:val="00315621"/>
    <w:rsid w:val="00320206"/>
    <w:rsid w:val="00324CE8"/>
    <w:rsid w:val="00330615"/>
    <w:rsid w:val="00332B46"/>
    <w:rsid w:val="00332C50"/>
    <w:rsid w:val="003374BB"/>
    <w:rsid w:val="003403DD"/>
    <w:rsid w:val="00342EE3"/>
    <w:rsid w:val="003446E1"/>
    <w:rsid w:val="003454CA"/>
    <w:rsid w:val="00346B12"/>
    <w:rsid w:val="00351E9B"/>
    <w:rsid w:val="003565AE"/>
    <w:rsid w:val="00360C0A"/>
    <w:rsid w:val="00361573"/>
    <w:rsid w:val="00367325"/>
    <w:rsid w:val="003716F3"/>
    <w:rsid w:val="003727BC"/>
    <w:rsid w:val="0037357A"/>
    <w:rsid w:val="00373D6D"/>
    <w:rsid w:val="003759A7"/>
    <w:rsid w:val="003774AA"/>
    <w:rsid w:val="003838D3"/>
    <w:rsid w:val="0038536F"/>
    <w:rsid w:val="00386CFE"/>
    <w:rsid w:val="00387EE6"/>
    <w:rsid w:val="00390170"/>
    <w:rsid w:val="0039571B"/>
    <w:rsid w:val="003B46C9"/>
    <w:rsid w:val="003C299C"/>
    <w:rsid w:val="003C52BA"/>
    <w:rsid w:val="003C6D13"/>
    <w:rsid w:val="003D3142"/>
    <w:rsid w:val="003D350A"/>
    <w:rsid w:val="003D7C87"/>
    <w:rsid w:val="003E33D7"/>
    <w:rsid w:val="003E62BF"/>
    <w:rsid w:val="003F73D9"/>
    <w:rsid w:val="004043D3"/>
    <w:rsid w:val="00405301"/>
    <w:rsid w:val="00405476"/>
    <w:rsid w:val="00415AB8"/>
    <w:rsid w:val="0041604A"/>
    <w:rsid w:val="00416FE1"/>
    <w:rsid w:val="00420F16"/>
    <w:rsid w:val="0042108E"/>
    <w:rsid w:val="0042736B"/>
    <w:rsid w:val="00433110"/>
    <w:rsid w:val="004347D8"/>
    <w:rsid w:val="00434FFE"/>
    <w:rsid w:val="00437E90"/>
    <w:rsid w:val="00440E87"/>
    <w:rsid w:val="00442EE9"/>
    <w:rsid w:val="00447736"/>
    <w:rsid w:val="00447BF5"/>
    <w:rsid w:val="004500C0"/>
    <w:rsid w:val="00452FAB"/>
    <w:rsid w:val="00461442"/>
    <w:rsid w:val="004643D2"/>
    <w:rsid w:val="004708A9"/>
    <w:rsid w:val="00471FD6"/>
    <w:rsid w:val="00473C91"/>
    <w:rsid w:val="004750CD"/>
    <w:rsid w:val="00476A6E"/>
    <w:rsid w:val="00481490"/>
    <w:rsid w:val="004824ED"/>
    <w:rsid w:val="00494091"/>
    <w:rsid w:val="00495D5A"/>
    <w:rsid w:val="00497C36"/>
    <w:rsid w:val="004A0AEF"/>
    <w:rsid w:val="004A1CDC"/>
    <w:rsid w:val="004A274F"/>
    <w:rsid w:val="004A3341"/>
    <w:rsid w:val="004D1B7A"/>
    <w:rsid w:val="004D3A1D"/>
    <w:rsid w:val="004D6FCC"/>
    <w:rsid w:val="004E4191"/>
    <w:rsid w:val="004E6103"/>
    <w:rsid w:val="004E65B7"/>
    <w:rsid w:val="004F09FC"/>
    <w:rsid w:val="0050053C"/>
    <w:rsid w:val="00500FD8"/>
    <w:rsid w:val="00502B3B"/>
    <w:rsid w:val="005110E3"/>
    <w:rsid w:val="005127A1"/>
    <w:rsid w:val="005128A9"/>
    <w:rsid w:val="005159CE"/>
    <w:rsid w:val="005160D7"/>
    <w:rsid w:val="00523D45"/>
    <w:rsid w:val="005302B4"/>
    <w:rsid w:val="0053188E"/>
    <w:rsid w:val="00537759"/>
    <w:rsid w:val="00546454"/>
    <w:rsid w:val="00546712"/>
    <w:rsid w:val="005469D8"/>
    <w:rsid w:val="0054725C"/>
    <w:rsid w:val="00547A7A"/>
    <w:rsid w:val="00551B6D"/>
    <w:rsid w:val="005536B1"/>
    <w:rsid w:val="00553E80"/>
    <w:rsid w:val="005552A3"/>
    <w:rsid w:val="0056652D"/>
    <w:rsid w:val="0059590F"/>
    <w:rsid w:val="0059701D"/>
    <w:rsid w:val="005A1315"/>
    <w:rsid w:val="005A2547"/>
    <w:rsid w:val="005C0D18"/>
    <w:rsid w:val="005C23CE"/>
    <w:rsid w:val="005D00F1"/>
    <w:rsid w:val="005E0E4E"/>
    <w:rsid w:val="005E6117"/>
    <w:rsid w:val="005F574F"/>
    <w:rsid w:val="0060013C"/>
    <w:rsid w:val="00602301"/>
    <w:rsid w:val="00605178"/>
    <w:rsid w:val="00605423"/>
    <w:rsid w:val="006105DA"/>
    <w:rsid w:val="00615ED3"/>
    <w:rsid w:val="00624F8E"/>
    <w:rsid w:val="00625DF9"/>
    <w:rsid w:val="0062621F"/>
    <w:rsid w:val="00627562"/>
    <w:rsid w:val="00627C3B"/>
    <w:rsid w:val="00634AE6"/>
    <w:rsid w:val="00635AED"/>
    <w:rsid w:val="00637691"/>
    <w:rsid w:val="0063776F"/>
    <w:rsid w:val="006444AD"/>
    <w:rsid w:val="0064702B"/>
    <w:rsid w:val="00652E6E"/>
    <w:rsid w:val="00656A70"/>
    <w:rsid w:val="006638CA"/>
    <w:rsid w:val="006677B6"/>
    <w:rsid w:val="00674C9E"/>
    <w:rsid w:val="00675DF6"/>
    <w:rsid w:val="00677032"/>
    <w:rsid w:val="006809EA"/>
    <w:rsid w:val="006847CC"/>
    <w:rsid w:val="006847E9"/>
    <w:rsid w:val="00687EB1"/>
    <w:rsid w:val="00690423"/>
    <w:rsid w:val="00692600"/>
    <w:rsid w:val="006A639E"/>
    <w:rsid w:val="006A63E7"/>
    <w:rsid w:val="006B046A"/>
    <w:rsid w:val="006B4F0F"/>
    <w:rsid w:val="006C5E30"/>
    <w:rsid w:val="006C67DC"/>
    <w:rsid w:val="006D77B5"/>
    <w:rsid w:val="006E3B72"/>
    <w:rsid w:val="006F2F65"/>
    <w:rsid w:val="006F2FCB"/>
    <w:rsid w:val="006F348D"/>
    <w:rsid w:val="006F5F2B"/>
    <w:rsid w:val="006F6DD4"/>
    <w:rsid w:val="006F756B"/>
    <w:rsid w:val="007038EC"/>
    <w:rsid w:val="00703D0E"/>
    <w:rsid w:val="00704615"/>
    <w:rsid w:val="00705F41"/>
    <w:rsid w:val="00713364"/>
    <w:rsid w:val="00715640"/>
    <w:rsid w:val="00715B65"/>
    <w:rsid w:val="0071615E"/>
    <w:rsid w:val="00717CD8"/>
    <w:rsid w:val="0072128A"/>
    <w:rsid w:val="00722824"/>
    <w:rsid w:val="00724B99"/>
    <w:rsid w:val="00724CA6"/>
    <w:rsid w:val="00734BD3"/>
    <w:rsid w:val="00734D44"/>
    <w:rsid w:val="00737F9B"/>
    <w:rsid w:val="00742BA3"/>
    <w:rsid w:val="00743749"/>
    <w:rsid w:val="007443E5"/>
    <w:rsid w:val="00744C1E"/>
    <w:rsid w:val="007509D8"/>
    <w:rsid w:val="007572D3"/>
    <w:rsid w:val="00757447"/>
    <w:rsid w:val="00763553"/>
    <w:rsid w:val="00784107"/>
    <w:rsid w:val="00787139"/>
    <w:rsid w:val="00791CF9"/>
    <w:rsid w:val="007927A1"/>
    <w:rsid w:val="007944FD"/>
    <w:rsid w:val="007A1259"/>
    <w:rsid w:val="007A2652"/>
    <w:rsid w:val="007A4BEE"/>
    <w:rsid w:val="007C48D9"/>
    <w:rsid w:val="007D1A98"/>
    <w:rsid w:val="007D1B28"/>
    <w:rsid w:val="007D2314"/>
    <w:rsid w:val="007D4317"/>
    <w:rsid w:val="007E6C19"/>
    <w:rsid w:val="007F1465"/>
    <w:rsid w:val="007F7906"/>
    <w:rsid w:val="0080087D"/>
    <w:rsid w:val="00802788"/>
    <w:rsid w:val="008027E8"/>
    <w:rsid w:val="00802BF3"/>
    <w:rsid w:val="008076EC"/>
    <w:rsid w:val="008078D5"/>
    <w:rsid w:val="008132E2"/>
    <w:rsid w:val="00814412"/>
    <w:rsid w:val="008149D8"/>
    <w:rsid w:val="00815051"/>
    <w:rsid w:val="00815ADD"/>
    <w:rsid w:val="00820455"/>
    <w:rsid w:val="008216F6"/>
    <w:rsid w:val="008231CD"/>
    <w:rsid w:val="0082751A"/>
    <w:rsid w:val="008321C2"/>
    <w:rsid w:val="00833D14"/>
    <w:rsid w:val="00835037"/>
    <w:rsid w:val="00836180"/>
    <w:rsid w:val="00836B4F"/>
    <w:rsid w:val="008406C7"/>
    <w:rsid w:val="00843D0D"/>
    <w:rsid w:val="0084722A"/>
    <w:rsid w:val="008474F6"/>
    <w:rsid w:val="0085190A"/>
    <w:rsid w:val="00863E30"/>
    <w:rsid w:val="0086754C"/>
    <w:rsid w:val="0086776A"/>
    <w:rsid w:val="00867FDA"/>
    <w:rsid w:val="00871F27"/>
    <w:rsid w:val="00873255"/>
    <w:rsid w:val="0087384B"/>
    <w:rsid w:val="00876DE4"/>
    <w:rsid w:val="00891157"/>
    <w:rsid w:val="0089278D"/>
    <w:rsid w:val="008A3B40"/>
    <w:rsid w:val="008A6128"/>
    <w:rsid w:val="008A6773"/>
    <w:rsid w:val="008B008D"/>
    <w:rsid w:val="008B0BA6"/>
    <w:rsid w:val="008B5A95"/>
    <w:rsid w:val="008C7317"/>
    <w:rsid w:val="008D18FD"/>
    <w:rsid w:val="008D3127"/>
    <w:rsid w:val="008D441E"/>
    <w:rsid w:val="008D4A59"/>
    <w:rsid w:val="008D4EBE"/>
    <w:rsid w:val="008D56CC"/>
    <w:rsid w:val="008E40EA"/>
    <w:rsid w:val="008E4863"/>
    <w:rsid w:val="008E594C"/>
    <w:rsid w:val="008E67FA"/>
    <w:rsid w:val="008F3059"/>
    <w:rsid w:val="008F47E1"/>
    <w:rsid w:val="008F5786"/>
    <w:rsid w:val="008F7F72"/>
    <w:rsid w:val="009068F3"/>
    <w:rsid w:val="0091005B"/>
    <w:rsid w:val="00911572"/>
    <w:rsid w:val="00913B64"/>
    <w:rsid w:val="00913CDD"/>
    <w:rsid w:val="009140E1"/>
    <w:rsid w:val="00914355"/>
    <w:rsid w:val="009148AC"/>
    <w:rsid w:val="00920024"/>
    <w:rsid w:val="00921F64"/>
    <w:rsid w:val="00924D1E"/>
    <w:rsid w:val="00953A10"/>
    <w:rsid w:val="00967B84"/>
    <w:rsid w:val="00972AB0"/>
    <w:rsid w:val="00973537"/>
    <w:rsid w:val="0097580F"/>
    <w:rsid w:val="009810FC"/>
    <w:rsid w:val="00982E08"/>
    <w:rsid w:val="00991053"/>
    <w:rsid w:val="0099161A"/>
    <w:rsid w:val="009917D4"/>
    <w:rsid w:val="00995655"/>
    <w:rsid w:val="00995A87"/>
    <w:rsid w:val="00997105"/>
    <w:rsid w:val="009A009F"/>
    <w:rsid w:val="009A0ED8"/>
    <w:rsid w:val="009A2ABB"/>
    <w:rsid w:val="009A34ED"/>
    <w:rsid w:val="009A3FD8"/>
    <w:rsid w:val="009A41F9"/>
    <w:rsid w:val="009C1012"/>
    <w:rsid w:val="009C43C6"/>
    <w:rsid w:val="009C7DE5"/>
    <w:rsid w:val="009D0241"/>
    <w:rsid w:val="009D1F8F"/>
    <w:rsid w:val="009D3782"/>
    <w:rsid w:val="009D7C37"/>
    <w:rsid w:val="009E1703"/>
    <w:rsid w:val="009F036A"/>
    <w:rsid w:val="009F113B"/>
    <w:rsid w:val="009F33FE"/>
    <w:rsid w:val="009F6E9F"/>
    <w:rsid w:val="009F7F6B"/>
    <w:rsid w:val="00A00CBA"/>
    <w:rsid w:val="00A028A2"/>
    <w:rsid w:val="00A02DAE"/>
    <w:rsid w:val="00A0378D"/>
    <w:rsid w:val="00A04997"/>
    <w:rsid w:val="00A10576"/>
    <w:rsid w:val="00A11DF0"/>
    <w:rsid w:val="00A14326"/>
    <w:rsid w:val="00A17007"/>
    <w:rsid w:val="00A20EC0"/>
    <w:rsid w:val="00A26F80"/>
    <w:rsid w:val="00A27482"/>
    <w:rsid w:val="00A34490"/>
    <w:rsid w:val="00A35163"/>
    <w:rsid w:val="00A37583"/>
    <w:rsid w:val="00A40FB4"/>
    <w:rsid w:val="00A41A24"/>
    <w:rsid w:val="00A47D13"/>
    <w:rsid w:val="00A550CB"/>
    <w:rsid w:val="00A57701"/>
    <w:rsid w:val="00A6188B"/>
    <w:rsid w:val="00A6224E"/>
    <w:rsid w:val="00A62BB4"/>
    <w:rsid w:val="00A653B3"/>
    <w:rsid w:val="00A70AFD"/>
    <w:rsid w:val="00A71288"/>
    <w:rsid w:val="00A72012"/>
    <w:rsid w:val="00A7773A"/>
    <w:rsid w:val="00A81124"/>
    <w:rsid w:val="00A827E1"/>
    <w:rsid w:val="00A83E9D"/>
    <w:rsid w:val="00A9087C"/>
    <w:rsid w:val="00A92874"/>
    <w:rsid w:val="00AA1823"/>
    <w:rsid w:val="00AA3E6F"/>
    <w:rsid w:val="00AA3F7E"/>
    <w:rsid w:val="00AB068B"/>
    <w:rsid w:val="00AB229E"/>
    <w:rsid w:val="00AB26CA"/>
    <w:rsid w:val="00AB286C"/>
    <w:rsid w:val="00AC00E1"/>
    <w:rsid w:val="00AC14D7"/>
    <w:rsid w:val="00AC19DA"/>
    <w:rsid w:val="00AC46E2"/>
    <w:rsid w:val="00AD0B4D"/>
    <w:rsid w:val="00AD3C22"/>
    <w:rsid w:val="00AD4156"/>
    <w:rsid w:val="00AE2442"/>
    <w:rsid w:val="00AE3E7A"/>
    <w:rsid w:val="00AE4C68"/>
    <w:rsid w:val="00AE5331"/>
    <w:rsid w:val="00AE6596"/>
    <w:rsid w:val="00AE7B34"/>
    <w:rsid w:val="00AE7D62"/>
    <w:rsid w:val="00AF0765"/>
    <w:rsid w:val="00AF201B"/>
    <w:rsid w:val="00AF442E"/>
    <w:rsid w:val="00AF631D"/>
    <w:rsid w:val="00B0089D"/>
    <w:rsid w:val="00B10EBC"/>
    <w:rsid w:val="00B22693"/>
    <w:rsid w:val="00B23B83"/>
    <w:rsid w:val="00B262EE"/>
    <w:rsid w:val="00B2654F"/>
    <w:rsid w:val="00B272A2"/>
    <w:rsid w:val="00B2745E"/>
    <w:rsid w:val="00B27644"/>
    <w:rsid w:val="00B34FB4"/>
    <w:rsid w:val="00B36B17"/>
    <w:rsid w:val="00B40F52"/>
    <w:rsid w:val="00B419CE"/>
    <w:rsid w:val="00B46702"/>
    <w:rsid w:val="00B46E4E"/>
    <w:rsid w:val="00B54417"/>
    <w:rsid w:val="00B62BA7"/>
    <w:rsid w:val="00B714F7"/>
    <w:rsid w:val="00B71996"/>
    <w:rsid w:val="00B71A88"/>
    <w:rsid w:val="00B726FA"/>
    <w:rsid w:val="00B739CB"/>
    <w:rsid w:val="00B76B59"/>
    <w:rsid w:val="00B7794F"/>
    <w:rsid w:val="00B85C19"/>
    <w:rsid w:val="00B87374"/>
    <w:rsid w:val="00B971FD"/>
    <w:rsid w:val="00BA1B14"/>
    <w:rsid w:val="00BA2E6E"/>
    <w:rsid w:val="00BA6097"/>
    <w:rsid w:val="00BB466C"/>
    <w:rsid w:val="00BB5371"/>
    <w:rsid w:val="00BB6ED2"/>
    <w:rsid w:val="00BC2580"/>
    <w:rsid w:val="00BC294E"/>
    <w:rsid w:val="00BC4A2A"/>
    <w:rsid w:val="00BC7734"/>
    <w:rsid w:val="00BE2989"/>
    <w:rsid w:val="00BE513C"/>
    <w:rsid w:val="00BF09E1"/>
    <w:rsid w:val="00BF0A07"/>
    <w:rsid w:val="00BF46DC"/>
    <w:rsid w:val="00BF5D24"/>
    <w:rsid w:val="00C02F55"/>
    <w:rsid w:val="00C04409"/>
    <w:rsid w:val="00C050A4"/>
    <w:rsid w:val="00C06023"/>
    <w:rsid w:val="00C13F57"/>
    <w:rsid w:val="00C17CD8"/>
    <w:rsid w:val="00C24E45"/>
    <w:rsid w:val="00C276C4"/>
    <w:rsid w:val="00C27EC0"/>
    <w:rsid w:val="00C31667"/>
    <w:rsid w:val="00C32920"/>
    <w:rsid w:val="00C363E3"/>
    <w:rsid w:val="00C36D01"/>
    <w:rsid w:val="00C401F1"/>
    <w:rsid w:val="00C40D84"/>
    <w:rsid w:val="00C64874"/>
    <w:rsid w:val="00C708A1"/>
    <w:rsid w:val="00C710B1"/>
    <w:rsid w:val="00C765C1"/>
    <w:rsid w:val="00C76C6C"/>
    <w:rsid w:val="00C80946"/>
    <w:rsid w:val="00C86E60"/>
    <w:rsid w:val="00C90F3E"/>
    <w:rsid w:val="00C912D9"/>
    <w:rsid w:val="00C96435"/>
    <w:rsid w:val="00C96B34"/>
    <w:rsid w:val="00C97490"/>
    <w:rsid w:val="00CA0B98"/>
    <w:rsid w:val="00CA19C7"/>
    <w:rsid w:val="00CA1A8C"/>
    <w:rsid w:val="00CB3A1F"/>
    <w:rsid w:val="00CC07EA"/>
    <w:rsid w:val="00CC75E1"/>
    <w:rsid w:val="00CD320D"/>
    <w:rsid w:val="00CD7C67"/>
    <w:rsid w:val="00CE03D5"/>
    <w:rsid w:val="00CE322D"/>
    <w:rsid w:val="00CF1974"/>
    <w:rsid w:val="00CF5D21"/>
    <w:rsid w:val="00D0340F"/>
    <w:rsid w:val="00D050F0"/>
    <w:rsid w:val="00D05FE5"/>
    <w:rsid w:val="00D1078B"/>
    <w:rsid w:val="00D11AF3"/>
    <w:rsid w:val="00D12787"/>
    <w:rsid w:val="00D14C0F"/>
    <w:rsid w:val="00D23DA4"/>
    <w:rsid w:val="00D26B4C"/>
    <w:rsid w:val="00D26F18"/>
    <w:rsid w:val="00D30EED"/>
    <w:rsid w:val="00D3269C"/>
    <w:rsid w:val="00D3394A"/>
    <w:rsid w:val="00D360AD"/>
    <w:rsid w:val="00D37324"/>
    <w:rsid w:val="00D37D30"/>
    <w:rsid w:val="00D42D1F"/>
    <w:rsid w:val="00D446D5"/>
    <w:rsid w:val="00D5076E"/>
    <w:rsid w:val="00D530F3"/>
    <w:rsid w:val="00D54BF9"/>
    <w:rsid w:val="00D54F79"/>
    <w:rsid w:val="00D669CA"/>
    <w:rsid w:val="00D70094"/>
    <w:rsid w:val="00D71B9D"/>
    <w:rsid w:val="00D71C48"/>
    <w:rsid w:val="00D73737"/>
    <w:rsid w:val="00D73C96"/>
    <w:rsid w:val="00D81BB7"/>
    <w:rsid w:val="00D903B6"/>
    <w:rsid w:val="00D94A36"/>
    <w:rsid w:val="00D955AF"/>
    <w:rsid w:val="00DA3A81"/>
    <w:rsid w:val="00DB5352"/>
    <w:rsid w:val="00DB7595"/>
    <w:rsid w:val="00DC1862"/>
    <w:rsid w:val="00DC323A"/>
    <w:rsid w:val="00DC5C34"/>
    <w:rsid w:val="00DC6555"/>
    <w:rsid w:val="00DD4028"/>
    <w:rsid w:val="00DD4E01"/>
    <w:rsid w:val="00DE176F"/>
    <w:rsid w:val="00DE4CB5"/>
    <w:rsid w:val="00DE5351"/>
    <w:rsid w:val="00DF1574"/>
    <w:rsid w:val="00DF279B"/>
    <w:rsid w:val="00DF49E0"/>
    <w:rsid w:val="00DF5D88"/>
    <w:rsid w:val="00DF60A4"/>
    <w:rsid w:val="00E03F57"/>
    <w:rsid w:val="00E0470A"/>
    <w:rsid w:val="00E0618D"/>
    <w:rsid w:val="00E06F65"/>
    <w:rsid w:val="00E2322C"/>
    <w:rsid w:val="00E24895"/>
    <w:rsid w:val="00E248FA"/>
    <w:rsid w:val="00E2679D"/>
    <w:rsid w:val="00E33012"/>
    <w:rsid w:val="00E37098"/>
    <w:rsid w:val="00E44834"/>
    <w:rsid w:val="00E459CF"/>
    <w:rsid w:val="00E47199"/>
    <w:rsid w:val="00E47530"/>
    <w:rsid w:val="00E507BC"/>
    <w:rsid w:val="00E52B86"/>
    <w:rsid w:val="00E5425F"/>
    <w:rsid w:val="00E54537"/>
    <w:rsid w:val="00E5472E"/>
    <w:rsid w:val="00E54E5A"/>
    <w:rsid w:val="00E55BD9"/>
    <w:rsid w:val="00E5745A"/>
    <w:rsid w:val="00E621DE"/>
    <w:rsid w:val="00E63465"/>
    <w:rsid w:val="00E643EC"/>
    <w:rsid w:val="00E64D36"/>
    <w:rsid w:val="00E66C61"/>
    <w:rsid w:val="00E72805"/>
    <w:rsid w:val="00E81B10"/>
    <w:rsid w:val="00E828DE"/>
    <w:rsid w:val="00E85D5F"/>
    <w:rsid w:val="00E877B0"/>
    <w:rsid w:val="00E9372E"/>
    <w:rsid w:val="00E9651F"/>
    <w:rsid w:val="00EA15DC"/>
    <w:rsid w:val="00EA2FFF"/>
    <w:rsid w:val="00EB12E1"/>
    <w:rsid w:val="00EB1F05"/>
    <w:rsid w:val="00EB3972"/>
    <w:rsid w:val="00EB5181"/>
    <w:rsid w:val="00EB77C0"/>
    <w:rsid w:val="00EB7DFA"/>
    <w:rsid w:val="00ED1B42"/>
    <w:rsid w:val="00ED1DCF"/>
    <w:rsid w:val="00ED41DF"/>
    <w:rsid w:val="00F01B58"/>
    <w:rsid w:val="00F02C67"/>
    <w:rsid w:val="00F128E1"/>
    <w:rsid w:val="00F13953"/>
    <w:rsid w:val="00F13A4E"/>
    <w:rsid w:val="00F20E00"/>
    <w:rsid w:val="00F210C5"/>
    <w:rsid w:val="00F272F5"/>
    <w:rsid w:val="00F3547C"/>
    <w:rsid w:val="00F40E68"/>
    <w:rsid w:val="00F42B5F"/>
    <w:rsid w:val="00F45BF9"/>
    <w:rsid w:val="00F577B8"/>
    <w:rsid w:val="00F608F3"/>
    <w:rsid w:val="00F64E6B"/>
    <w:rsid w:val="00F6598F"/>
    <w:rsid w:val="00F732E7"/>
    <w:rsid w:val="00F81A65"/>
    <w:rsid w:val="00F860CE"/>
    <w:rsid w:val="00F97508"/>
    <w:rsid w:val="00F97FF1"/>
    <w:rsid w:val="00FA0A92"/>
    <w:rsid w:val="00FA3F53"/>
    <w:rsid w:val="00FA40CB"/>
    <w:rsid w:val="00FA6BC4"/>
    <w:rsid w:val="00FB35AB"/>
    <w:rsid w:val="00FB5B68"/>
    <w:rsid w:val="00FC2401"/>
    <w:rsid w:val="00FC2825"/>
    <w:rsid w:val="00FD6115"/>
    <w:rsid w:val="00FE02CE"/>
    <w:rsid w:val="00FE0970"/>
    <w:rsid w:val="00FE4B80"/>
    <w:rsid w:val="00FE7889"/>
    <w:rsid w:val="00FF6A28"/>
    <w:rsid w:val="00FF7FDD"/>
    <w:rsid w:val="01784FAE"/>
    <w:rsid w:val="02411AB9"/>
    <w:rsid w:val="036E5ACE"/>
    <w:rsid w:val="04F62134"/>
    <w:rsid w:val="06F53E3D"/>
    <w:rsid w:val="07F13FAE"/>
    <w:rsid w:val="091B29D8"/>
    <w:rsid w:val="095A7724"/>
    <w:rsid w:val="096609CC"/>
    <w:rsid w:val="09DC0C8E"/>
    <w:rsid w:val="0AF02C43"/>
    <w:rsid w:val="0B83184E"/>
    <w:rsid w:val="0B8769D7"/>
    <w:rsid w:val="0C1E4A2F"/>
    <w:rsid w:val="0CD36378"/>
    <w:rsid w:val="0D29306A"/>
    <w:rsid w:val="0D3D0F36"/>
    <w:rsid w:val="0E370B89"/>
    <w:rsid w:val="0E40199C"/>
    <w:rsid w:val="0E83792A"/>
    <w:rsid w:val="100D7DF3"/>
    <w:rsid w:val="10841B04"/>
    <w:rsid w:val="11FF551A"/>
    <w:rsid w:val="1277798E"/>
    <w:rsid w:val="12E526E7"/>
    <w:rsid w:val="133E6515"/>
    <w:rsid w:val="138E25FB"/>
    <w:rsid w:val="13FF58F2"/>
    <w:rsid w:val="143C2A55"/>
    <w:rsid w:val="15552272"/>
    <w:rsid w:val="15670902"/>
    <w:rsid w:val="15977BC9"/>
    <w:rsid w:val="15C962CC"/>
    <w:rsid w:val="16094BB9"/>
    <w:rsid w:val="1636135F"/>
    <w:rsid w:val="16BE59A3"/>
    <w:rsid w:val="179238C2"/>
    <w:rsid w:val="18375EEC"/>
    <w:rsid w:val="18451E9C"/>
    <w:rsid w:val="198B6441"/>
    <w:rsid w:val="19B7311B"/>
    <w:rsid w:val="1B247AC3"/>
    <w:rsid w:val="1B6D668B"/>
    <w:rsid w:val="1BBE3B9F"/>
    <w:rsid w:val="1BBE499E"/>
    <w:rsid w:val="1CD83537"/>
    <w:rsid w:val="1D6923E1"/>
    <w:rsid w:val="1D8A2A83"/>
    <w:rsid w:val="1DE026A3"/>
    <w:rsid w:val="1E036392"/>
    <w:rsid w:val="1EF33F6B"/>
    <w:rsid w:val="1F106FB8"/>
    <w:rsid w:val="211103B4"/>
    <w:rsid w:val="214A44E5"/>
    <w:rsid w:val="219F1468"/>
    <w:rsid w:val="21D11197"/>
    <w:rsid w:val="21E604A4"/>
    <w:rsid w:val="225C42C2"/>
    <w:rsid w:val="22727213"/>
    <w:rsid w:val="22891CE6"/>
    <w:rsid w:val="260A3257"/>
    <w:rsid w:val="26A3506B"/>
    <w:rsid w:val="27D668C5"/>
    <w:rsid w:val="27FF406E"/>
    <w:rsid w:val="28E422ED"/>
    <w:rsid w:val="2A496A6F"/>
    <w:rsid w:val="2B1D6727"/>
    <w:rsid w:val="2DB9081B"/>
    <w:rsid w:val="2DE55AB4"/>
    <w:rsid w:val="2E7964C2"/>
    <w:rsid w:val="2F3B1D8A"/>
    <w:rsid w:val="2F544C9F"/>
    <w:rsid w:val="2F6824F8"/>
    <w:rsid w:val="2F996B56"/>
    <w:rsid w:val="30030C79"/>
    <w:rsid w:val="30B17955"/>
    <w:rsid w:val="31480833"/>
    <w:rsid w:val="31CD0D39"/>
    <w:rsid w:val="32673BB2"/>
    <w:rsid w:val="33FC54A8"/>
    <w:rsid w:val="344A48C2"/>
    <w:rsid w:val="34C65E82"/>
    <w:rsid w:val="34CD6794"/>
    <w:rsid w:val="351033B6"/>
    <w:rsid w:val="3518510D"/>
    <w:rsid w:val="36C4095C"/>
    <w:rsid w:val="36D14E27"/>
    <w:rsid w:val="373553B6"/>
    <w:rsid w:val="3807472F"/>
    <w:rsid w:val="38635A90"/>
    <w:rsid w:val="388B5983"/>
    <w:rsid w:val="38A322D3"/>
    <w:rsid w:val="399602BB"/>
    <w:rsid w:val="3A0208F7"/>
    <w:rsid w:val="3AD81BE3"/>
    <w:rsid w:val="3B1D39E0"/>
    <w:rsid w:val="3DBF38A8"/>
    <w:rsid w:val="3F462059"/>
    <w:rsid w:val="3FEF3F72"/>
    <w:rsid w:val="401776B5"/>
    <w:rsid w:val="418F7450"/>
    <w:rsid w:val="41CA6156"/>
    <w:rsid w:val="425A3F23"/>
    <w:rsid w:val="437656C5"/>
    <w:rsid w:val="444D01E4"/>
    <w:rsid w:val="459A6978"/>
    <w:rsid w:val="45C81AEB"/>
    <w:rsid w:val="46535859"/>
    <w:rsid w:val="465D0F47"/>
    <w:rsid w:val="4662638F"/>
    <w:rsid w:val="481D61BC"/>
    <w:rsid w:val="48DC7083"/>
    <w:rsid w:val="49072EC0"/>
    <w:rsid w:val="49117305"/>
    <w:rsid w:val="495B1EA6"/>
    <w:rsid w:val="4B1267B9"/>
    <w:rsid w:val="4B7E0B59"/>
    <w:rsid w:val="4BA1680A"/>
    <w:rsid w:val="4E700716"/>
    <w:rsid w:val="4EDD06BA"/>
    <w:rsid w:val="4EFD6CDC"/>
    <w:rsid w:val="4F161CF3"/>
    <w:rsid w:val="4F4864E4"/>
    <w:rsid w:val="4F94051C"/>
    <w:rsid w:val="522105B9"/>
    <w:rsid w:val="527B7CBB"/>
    <w:rsid w:val="52C5188C"/>
    <w:rsid w:val="53824C1F"/>
    <w:rsid w:val="53B45732"/>
    <w:rsid w:val="54C96C32"/>
    <w:rsid w:val="54F77CF7"/>
    <w:rsid w:val="561B7A15"/>
    <w:rsid w:val="56CB4F97"/>
    <w:rsid w:val="56D3344A"/>
    <w:rsid w:val="56D50EBC"/>
    <w:rsid w:val="56E60023"/>
    <w:rsid w:val="57CD4B04"/>
    <w:rsid w:val="583110A7"/>
    <w:rsid w:val="583A7D04"/>
    <w:rsid w:val="5A682D95"/>
    <w:rsid w:val="5B232365"/>
    <w:rsid w:val="5B767BC7"/>
    <w:rsid w:val="5BA26C0E"/>
    <w:rsid w:val="5BB3647D"/>
    <w:rsid w:val="5CA60C53"/>
    <w:rsid w:val="5CBC5269"/>
    <w:rsid w:val="5DD45079"/>
    <w:rsid w:val="5E557AE0"/>
    <w:rsid w:val="5E8F5931"/>
    <w:rsid w:val="5FE82423"/>
    <w:rsid w:val="606A3F3D"/>
    <w:rsid w:val="60797332"/>
    <w:rsid w:val="607A107A"/>
    <w:rsid w:val="60983693"/>
    <w:rsid w:val="60C43183"/>
    <w:rsid w:val="617A26B6"/>
    <w:rsid w:val="61CE461E"/>
    <w:rsid w:val="621E42D6"/>
    <w:rsid w:val="62CA40D4"/>
    <w:rsid w:val="63846BFA"/>
    <w:rsid w:val="63B95BA4"/>
    <w:rsid w:val="63E268F1"/>
    <w:rsid w:val="641C6E32"/>
    <w:rsid w:val="65E9543A"/>
    <w:rsid w:val="665E2C03"/>
    <w:rsid w:val="66994E12"/>
    <w:rsid w:val="68BC3A77"/>
    <w:rsid w:val="693713F5"/>
    <w:rsid w:val="6A3337AC"/>
    <w:rsid w:val="6C6B6BA9"/>
    <w:rsid w:val="6C783074"/>
    <w:rsid w:val="6F563B40"/>
    <w:rsid w:val="6FA0300D"/>
    <w:rsid w:val="6FEB5B12"/>
    <w:rsid w:val="6FFE7D34"/>
    <w:rsid w:val="703C052B"/>
    <w:rsid w:val="70A3656C"/>
    <w:rsid w:val="71330988"/>
    <w:rsid w:val="718E3E69"/>
    <w:rsid w:val="71A943D4"/>
    <w:rsid w:val="71EF2146"/>
    <w:rsid w:val="72205E2D"/>
    <w:rsid w:val="72AC3A77"/>
    <w:rsid w:val="72E94CCB"/>
    <w:rsid w:val="731301DE"/>
    <w:rsid w:val="7372081D"/>
    <w:rsid w:val="73D07860"/>
    <w:rsid w:val="740828A2"/>
    <w:rsid w:val="7457466E"/>
    <w:rsid w:val="7533222E"/>
    <w:rsid w:val="771672C3"/>
    <w:rsid w:val="77214B01"/>
    <w:rsid w:val="77550B81"/>
    <w:rsid w:val="77E67A2B"/>
    <w:rsid w:val="79E36412"/>
    <w:rsid w:val="7BDA78A7"/>
    <w:rsid w:val="7C030C87"/>
    <w:rsid w:val="7DCE343B"/>
    <w:rsid w:val="7EDB4B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heme="minorBidi"/>
      <w:kern w:val="2"/>
      <w:sz w:val="21"/>
      <w:szCs w:val="22"/>
      <w:lang w:val="en-US" w:eastAsia="zh-CN" w:bidi="ar-SA"/>
    </w:rPr>
  </w:style>
  <w:style w:type="paragraph" w:styleId="2">
    <w:name w:val="heading 1"/>
    <w:basedOn w:val="1"/>
    <w:next w:val="1"/>
    <w:link w:val="59"/>
    <w:qFormat/>
    <w:uiPriority w:val="9"/>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0"/>
    <w:pPr>
      <w:keepNext/>
      <w:keepLines/>
      <w:outlineLvl w:val="1"/>
    </w:pPr>
    <w:rPr>
      <w:rFonts w:ascii="Times New Roman" w:hAnsi="Times New Roman" w:eastAsia="黑体"/>
    </w:rPr>
  </w:style>
  <w:style w:type="paragraph" w:styleId="4">
    <w:name w:val="heading 3"/>
    <w:basedOn w:val="1"/>
    <w:next w:val="1"/>
    <w:unhideWhenUsed/>
    <w:qFormat/>
    <w:uiPriority w:val="0"/>
    <w:pPr>
      <w:keepNext/>
      <w:keepLines/>
      <w:spacing w:before="50" w:beforeLines="50" w:after="50" w:afterLines="50"/>
      <w:outlineLvl w:val="2"/>
    </w:pPr>
    <w:rPr>
      <w:rFonts w:ascii="Times New Roman" w:hAnsi="Times New Roman" w:eastAsia="黑体"/>
    </w:rPr>
  </w:style>
  <w:style w:type="paragraph" w:styleId="5">
    <w:name w:val="heading 4"/>
    <w:basedOn w:val="1"/>
    <w:next w:val="1"/>
    <w:unhideWhenUsed/>
    <w:qFormat/>
    <w:uiPriority w:val="0"/>
    <w:pPr>
      <w:keepNext/>
      <w:keepLines/>
      <w:outlineLvl w:val="3"/>
    </w:pPr>
    <w:rPr>
      <w:rFonts w:ascii="Times New Roman" w:hAnsi="Times New Roman" w:eastAsia="黑体"/>
    </w:rPr>
  </w:style>
  <w:style w:type="paragraph" w:styleId="6">
    <w:name w:val="heading 5"/>
    <w:basedOn w:val="1"/>
    <w:next w:val="1"/>
    <w:link w:val="60"/>
    <w:semiHidden/>
    <w:unhideWhenUsed/>
    <w:qFormat/>
    <w:uiPriority w:val="9"/>
    <w:pPr>
      <w:keepNext/>
      <w:keepLines/>
      <w:spacing w:before="280" w:after="290" w:line="376" w:lineRule="auto"/>
      <w:outlineLvl w:val="4"/>
    </w:pPr>
    <w:rPr>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uiPriority w:val="35"/>
    <w:rPr>
      <w:rFonts w:eastAsia="黑体" w:asciiTheme="majorHAnsi" w:hAnsiTheme="majorHAnsi" w:cstheme="majorBidi"/>
      <w:sz w:val="20"/>
      <w:szCs w:val="20"/>
    </w:rPr>
  </w:style>
  <w:style w:type="paragraph" w:styleId="8">
    <w:name w:val="annotation text"/>
    <w:basedOn w:val="1"/>
    <w:link w:val="48"/>
    <w:semiHidden/>
    <w:unhideWhenUsed/>
    <w:qFormat/>
    <w:uiPriority w:val="99"/>
    <w:pPr>
      <w:jc w:val="left"/>
    </w:pPr>
  </w:style>
  <w:style w:type="paragraph" w:styleId="9">
    <w:name w:val="toc 3"/>
    <w:basedOn w:val="1"/>
    <w:next w:val="1"/>
    <w:unhideWhenUsed/>
    <w:qFormat/>
    <w:uiPriority w:val="39"/>
    <w:pPr>
      <w:ind w:left="200" w:leftChars="200"/>
    </w:pPr>
  </w:style>
  <w:style w:type="paragraph" w:styleId="10">
    <w:name w:val="footer"/>
    <w:basedOn w:val="1"/>
    <w:link w:val="27"/>
    <w:unhideWhenUsed/>
    <w:qFormat/>
    <w:uiPriority w:val="99"/>
    <w:pPr>
      <w:widowControl/>
      <w:tabs>
        <w:tab w:val="center" w:pos="4680"/>
        <w:tab w:val="right" w:pos="9360"/>
      </w:tabs>
      <w:jc w:val="left"/>
    </w:pPr>
    <w:rPr>
      <w:rFonts w:cs="Times New Roman"/>
      <w:kern w:val="0"/>
      <w:sz w:val="22"/>
    </w:rPr>
  </w:style>
  <w:style w:type="paragraph" w:styleId="11">
    <w:name w:val="header"/>
    <w:basedOn w:val="1"/>
    <w:link w:val="61"/>
    <w:unhideWhenUsed/>
    <w:qFormat/>
    <w:uiPriority w:val="99"/>
    <w:pPr>
      <w:tabs>
        <w:tab w:val="center" w:pos="4153"/>
        <w:tab w:val="right" w:pos="8306"/>
      </w:tabs>
      <w:snapToGrid w:val="0"/>
      <w:jc w:val="center"/>
    </w:pPr>
    <w:rPr>
      <w:sz w:val="18"/>
      <w:szCs w:val="18"/>
    </w:rPr>
  </w:style>
  <w:style w:type="paragraph" w:styleId="12">
    <w:name w:val="toc 1"/>
    <w:basedOn w:val="1"/>
    <w:next w:val="13"/>
    <w:autoRedefine/>
    <w:unhideWhenUsed/>
    <w:qFormat/>
    <w:uiPriority w:val="39"/>
    <w:pPr>
      <w:tabs>
        <w:tab w:val="right" w:leader="dot" w:pos="9344"/>
      </w:tabs>
      <w:spacing w:before="78" w:beforeLines="25" w:after="78" w:afterLines="25"/>
    </w:pPr>
  </w:style>
  <w:style w:type="paragraph" w:styleId="13">
    <w:name w:val="toc 2"/>
    <w:basedOn w:val="1"/>
    <w:next w:val="1"/>
    <w:autoRedefine/>
    <w:unhideWhenUsed/>
    <w:uiPriority w:val="39"/>
    <w:pPr>
      <w:ind w:left="100" w:leftChars="100"/>
    </w:pPr>
  </w:style>
  <w:style w:type="paragraph" w:styleId="14">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cs="Times New Roman"/>
      <w:kern w:val="0"/>
      <w:sz w:val="24"/>
      <w:szCs w:val="24"/>
    </w:rPr>
  </w:style>
  <w:style w:type="paragraph" w:styleId="15">
    <w:name w:val="Normal (Web)"/>
    <w:basedOn w:val="1"/>
    <w:unhideWhenUsed/>
    <w:uiPriority w:val="99"/>
    <w:pPr>
      <w:spacing w:beforeAutospacing="1" w:afterAutospacing="1"/>
      <w:jc w:val="left"/>
    </w:pPr>
    <w:rPr>
      <w:rFonts w:cs="Times New Roman"/>
      <w:kern w:val="0"/>
      <w:sz w:val="24"/>
    </w:rPr>
  </w:style>
  <w:style w:type="paragraph" w:styleId="16">
    <w:name w:val="annotation subject"/>
    <w:basedOn w:val="8"/>
    <w:next w:val="8"/>
    <w:link w:val="49"/>
    <w:semiHidden/>
    <w:unhideWhenUsed/>
    <w:qFormat/>
    <w:uiPriority w:val="99"/>
    <w:rPr>
      <w:b/>
      <w:bCs/>
    </w:rPr>
  </w:style>
  <w:style w:type="table" w:styleId="18">
    <w:name w:val="Table Grid"/>
    <w:basedOn w:val="1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22"/>
    <w:rPr>
      <w:b/>
    </w:rPr>
  </w:style>
  <w:style w:type="character" w:styleId="21">
    <w:name w:val="Hyperlink"/>
    <w:basedOn w:val="19"/>
    <w:unhideWhenUsed/>
    <w:qFormat/>
    <w:uiPriority w:val="99"/>
    <w:rPr>
      <w:color w:val="0000FF"/>
      <w:u w:val="single"/>
    </w:rPr>
  </w:style>
  <w:style w:type="character" w:styleId="22">
    <w:name w:val="annotation reference"/>
    <w:basedOn w:val="19"/>
    <w:semiHidden/>
    <w:unhideWhenUsed/>
    <w:qFormat/>
    <w:uiPriority w:val="99"/>
    <w:rPr>
      <w:sz w:val="21"/>
      <w:szCs w:val="21"/>
    </w:rPr>
  </w:style>
  <w:style w:type="paragraph" w:customStyle="1" w:styleId="23">
    <w:name w:val="表格内容"/>
    <w:basedOn w:val="24"/>
    <w:next w:val="24"/>
    <w:qFormat/>
    <w:uiPriority w:val="0"/>
    <w:pPr>
      <w:widowControl w:val="0"/>
    </w:pPr>
    <w:rPr>
      <w:rFonts w:cstheme="minorBidi"/>
      <w:snapToGrid w:val="0"/>
      <w:color w:val="000000"/>
      <w:kern w:val="2"/>
      <w:sz w:val="18"/>
      <w:szCs w:val="22"/>
      <w:lang w:eastAsia="en-US"/>
    </w:rPr>
  </w:style>
  <w:style w:type="paragraph" w:customStyle="1" w:styleId="24">
    <w:name w:val="段"/>
    <w:link w:val="28"/>
    <w:qFormat/>
    <w:uiPriority w:val="0"/>
    <w:pPr>
      <w:autoSpaceDE w:val="0"/>
      <w:autoSpaceDN w:val="0"/>
      <w:ind w:firstLine="200" w:firstLineChars="200"/>
      <w:jc w:val="both"/>
    </w:pPr>
    <w:rPr>
      <w:rFonts w:ascii="宋体" w:hAnsi="宋体" w:eastAsia="宋体" w:cs="Times New Roman"/>
      <w:sz w:val="21"/>
      <w:lang w:val="en-US" w:eastAsia="zh-CN" w:bidi="ar-SA"/>
    </w:rPr>
  </w:style>
  <w:style w:type="paragraph" w:customStyle="1" w:styleId="25">
    <w:name w:val="偶数页眉"/>
    <w:qFormat/>
    <w:uiPriority w:val="0"/>
    <w:rPr>
      <w:rFonts w:ascii="黑体" w:hAnsi="黑体" w:eastAsia="黑体" w:cs="Times New Roman"/>
      <w:sz w:val="21"/>
      <w:szCs w:val="21"/>
      <w:lang w:val="en-US" w:eastAsia="zh-CN" w:bidi="ar-SA"/>
    </w:rPr>
  </w:style>
  <w:style w:type="paragraph" w:customStyle="1" w:styleId="26">
    <w:name w:val="术语条目"/>
    <w:qFormat/>
    <w:uiPriority w:val="0"/>
    <w:pPr>
      <w:ind w:left="200" w:leftChars="200"/>
    </w:pPr>
    <w:rPr>
      <w:rFonts w:ascii="黑体" w:hAnsi="黑体" w:eastAsia="黑体" w:cs="Times New Roman"/>
      <w:sz w:val="21"/>
      <w:szCs w:val="21"/>
      <w:lang w:val="en-US" w:eastAsia="zh-CN" w:bidi="ar-SA"/>
    </w:rPr>
  </w:style>
  <w:style w:type="character" w:customStyle="1" w:styleId="27">
    <w:name w:val="页脚 字符"/>
    <w:basedOn w:val="19"/>
    <w:link w:val="10"/>
    <w:qFormat/>
    <w:uiPriority w:val="99"/>
    <w:rPr>
      <w:rFonts w:asciiTheme="minorHAnsi" w:hAnsiTheme="minorHAnsi" w:eastAsiaTheme="minorEastAsia"/>
      <w:sz w:val="22"/>
      <w:szCs w:val="22"/>
    </w:rPr>
  </w:style>
  <w:style w:type="character" w:customStyle="1" w:styleId="28">
    <w:name w:val="段 Char"/>
    <w:link w:val="24"/>
    <w:qFormat/>
    <w:uiPriority w:val="0"/>
    <w:rPr>
      <w:rFonts w:ascii="宋体" w:hAnsi="宋体"/>
      <w:sz w:val="21"/>
    </w:rPr>
  </w:style>
  <w:style w:type="paragraph" w:customStyle="1" w:styleId="29">
    <w:name w:val="发布部门"/>
    <w:next w:val="24"/>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30">
    <w:name w:val="封面标准英文名称"/>
    <w:basedOn w:val="1"/>
    <w:qFormat/>
    <w:uiPriority w:val="0"/>
    <w:pPr>
      <w:framePr w:w="9639" w:h="6917" w:hRule="exact" w:wrap="around" w:vAnchor="page" w:hAnchor="page" w:x="849" w:y="5749" w:anchorLock="1"/>
      <w:spacing w:before="370" w:line="400" w:lineRule="exact"/>
      <w:jc w:val="center"/>
      <w:textAlignment w:val="center"/>
    </w:pPr>
    <w:rPr>
      <w:rFonts w:ascii="黑体" w:hAnsi="黑体" w:eastAsia="黑体" w:cs="Times New Roman"/>
      <w:kern w:val="0"/>
      <w:sz w:val="28"/>
      <w:szCs w:val="28"/>
    </w:rPr>
  </w:style>
  <w:style w:type="paragraph" w:customStyle="1" w:styleId="31">
    <w:name w:val="其他发布日期"/>
    <w:basedOn w:val="1"/>
    <w:qFormat/>
    <w:uiPriority w:val="0"/>
    <w:pPr>
      <w:framePr w:w="3997" w:h="471" w:hRule="exact" w:vSpace="181" w:wrap="around" w:vAnchor="page" w:hAnchor="page" w:x="1419" w:y="14097" w:anchorLock="1"/>
      <w:widowControl/>
      <w:jc w:val="left"/>
    </w:pPr>
    <w:rPr>
      <w:rFonts w:ascii="Times New Roman" w:hAnsi="Times New Roman" w:eastAsia="黑体" w:cs="Times New Roman"/>
      <w:kern w:val="0"/>
      <w:sz w:val="28"/>
      <w:szCs w:val="20"/>
    </w:rPr>
  </w:style>
  <w:style w:type="paragraph" w:customStyle="1" w:styleId="32">
    <w:name w:val="其他实施日期"/>
    <w:basedOn w:val="1"/>
    <w:qFormat/>
    <w:uiPriority w:val="0"/>
    <w:pPr>
      <w:framePr w:w="3997" w:h="471" w:hRule="exact" w:vSpace="181" w:wrap="around" w:vAnchor="page" w:hAnchor="page" w:x="7089" w:y="14097" w:anchorLock="1"/>
      <w:widowControl/>
      <w:jc w:val="right"/>
    </w:pPr>
    <w:rPr>
      <w:rFonts w:ascii="Times New Roman" w:hAnsi="Times New Roman" w:eastAsia="黑体" w:cs="Times New Roman"/>
      <w:kern w:val="0"/>
      <w:sz w:val="28"/>
      <w:szCs w:val="20"/>
    </w:rPr>
  </w:style>
  <w:style w:type="paragraph" w:customStyle="1" w:styleId="33">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34">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35">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36">
    <w:name w:val="前言、引言标题"/>
    <w:next w:val="24"/>
    <w:qFormat/>
    <w:uiPriority w:val="0"/>
    <w:pPr>
      <w:keepNext/>
      <w:pageBreakBefore/>
      <w:shd w:val="clear" w:color="FFFFFF" w:fill="FFFFFF"/>
      <w:spacing w:before="851" w:after="680"/>
      <w:jc w:val="center"/>
      <w:outlineLvl w:val="0"/>
    </w:pPr>
    <w:rPr>
      <w:rFonts w:ascii="黑体" w:hAnsi="Times New Roman" w:eastAsia="黑体" w:cs="Times New Roman"/>
      <w:sz w:val="32"/>
      <w:lang w:val="en-US" w:eastAsia="zh-CN" w:bidi="ar-SA"/>
    </w:rPr>
  </w:style>
  <w:style w:type="paragraph" w:customStyle="1" w:styleId="37">
    <w:name w:val="一级条标题"/>
    <w:basedOn w:val="38"/>
    <w:next w:val="24"/>
    <w:qFormat/>
    <w:uiPriority w:val="0"/>
    <w:pPr>
      <w:keepNext/>
      <w:spacing w:before="156" w:beforeLines="50" w:after="156" w:afterLines="50"/>
      <w:jc w:val="left"/>
      <w:outlineLvl w:val="1"/>
    </w:pPr>
    <w:rPr>
      <w:szCs w:val="21"/>
    </w:rPr>
  </w:style>
  <w:style w:type="paragraph" w:customStyle="1" w:styleId="38">
    <w:name w:val="章标题"/>
    <w:next w:val="24"/>
    <w:qFormat/>
    <w:uiPriority w:val="0"/>
    <w:pPr>
      <w:spacing w:before="312" w:beforeLines="100" w:after="312" w:afterLines="100"/>
      <w:jc w:val="both"/>
      <w:outlineLvl w:val="0"/>
    </w:pPr>
    <w:rPr>
      <w:rFonts w:ascii="黑体" w:hAnsi="黑体" w:eastAsia="黑体" w:cs="Times New Roman"/>
      <w:sz w:val="21"/>
      <w:lang w:val="en-US" w:eastAsia="zh-CN" w:bidi="ar-SA"/>
    </w:rPr>
  </w:style>
  <w:style w:type="paragraph" w:customStyle="1" w:styleId="39">
    <w:name w:val="二级条标题"/>
    <w:basedOn w:val="37"/>
    <w:next w:val="24"/>
    <w:qFormat/>
    <w:uiPriority w:val="0"/>
    <w:pPr>
      <w:outlineLvl w:val="2"/>
    </w:pPr>
  </w:style>
  <w:style w:type="paragraph" w:customStyle="1" w:styleId="40">
    <w:name w:val="目次、标准名称标题"/>
    <w:basedOn w:val="1"/>
    <w:next w:val="24"/>
    <w:qFormat/>
    <w:uiPriority w:val="0"/>
    <w:pPr>
      <w:keepNext/>
      <w:pageBreakBefore/>
      <w:widowControl/>
      <w:shd w:val="clear" w:color="FFFFFF" w:fill="FFFFFF"/>
      <w:spacing w:before="567" w:after="680"/>
      <w:jc w:val="center"/>
    </w:pPr>
    <w:rPr>
      <w:rFonts w:ascii="黑体" w:hAnsi="黑体" w:eastAsia="黑体" w:cs="Times New Roman"/>
      <w:kern w:val="0"/>
      <w:sz w:val="32"/>
      <w:szCs w:val="20"/>
    </w:rPr>
  </w:style>
  <w:style w:type="paragraph" w:customStyle="1" w:styleId="41">
    <w:name w:val="三级条标题"/>
    <w:basedOn w:val="39"/>
    <w:next w:val="24"/>
    <w:qFormat/>
    <w:uiPriority w:val="0"/>
    <w:pPr>
      <w:outlineLvl w:val="4"/>
    </w:pPr>
  </w:style>
  <w:style w:type="paragraph" w:customStyle="1" w:styleId="42">
    <w:name w:val="四级条标题"/>
    <w:basedOn w:val="41"/>
    <w:next w:val="24"/>
    <w:qFormat/>
    <w:uiPriority w:val="0"/>
    <w:pPr>
      <w:outlineLvl w:val="5"/>
    </w:pPr>
  </w:style>
  <w:style w:type="paragraph" w:customStyle="1" w:styleId="43">
    <w:name w:val="五级条标题"/>
    <w:basedOn w:val="42"/>
    <w:next w:val="24"/>
    <w:qFormat/>
    <w:uiPriority w:val="0"/>
    <w:pPr>
      <w:outlineLvl w:val="6"/>
    </w:pPr>
  </w:style>
  <w:style w:type="paragraph" w:customStyle="1" w:styleId="44">
    <w:name w:val="正文表标题"/>
    <w:next w:val="24"/>
    <w:qFormat/>
    <w:uiPriority w:val="0"/>
    <w:pPr>
      <w:spacing w:before="156" w:beforeLines="50" w:after="156" w:afterLines="50"/>
      <w:jc w:val="center"/>
    </w:pPr>
    <w:rPr>
      <w:rFonts w:ascii="黑体" w:hAnsi="黑体" w:eastAsia="黑体" w:cs="Times New Roman"/>
      <w:sz w:val="21"/>
      <w:lang w:val="en-US" w:eastAsia="zh-CN" w:bidi="ar-SA"/>
    </w:rPr>
  </w:style>
  <w:style w:type="paragraph" w:customStyle="1" w:styleId="45">
    <w:name w:val="奇数页眉"/>
    <w:next w:val="1"/>
    <w:qFormat/>
    <w:uiPriority w:val="0"/>
    <w:pPr>
      <w:jc w:val="right"/>
    </w:pPr>
    <w:rPr>
      <w:rFonts w:ascii="黑体" w:hAnsi="黑体" w:eastAsia="黑体" w:cs="Times New Roman"/>
      <w:sz w:val="21"/>
      <w:szCs w:val="21"/>
      <w:lang w:val="en-US" w:eastAsia="zh-CN" w:bidi="ar-SA"/>
    </w:rPr>
  </w:style>
  <w:style w:type="paragraph" w:customStyle="1" w:styleId="46">
    <w:name w:val="二级无"/>
    <w:basedOn w:val="39"/>
    <w:autoRedefine/>
    <w:qFormat/>
    <w:uiPriority w:val="0"/>
    <w:rPr>
      <w:rFonts w:ascii="宋体" w:eastAsia="宋体"/>
    </w:rPr>
  </w:style>
  <w:style w:type="paragraph" w:customStyle="1" w:styleId="47">
    <w:name w:val="修订1"/>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48">
    <w:name w:val="批注文字 字符"/>
    <w:basedOn w:val="19"/>
    <w:link w:val="8"/>
    <w:semiHidden/>
    <w:qFormat/>
    <w:uiPriority w:val="99"/>
    <w:rPr>
      <w:rFonts w:asciiTheme="minorHAnsi" w:hAnsiTheme="minorHAnsi" w:eastAsiaTheme="minorEastAsia" w:cstheme="minorBidi"/>
      <w:kern w:val="2"/>
      <w:sz w:val="21"/>
      <w:szCs w:val="22"/>
    </w:rPr>
  </w:style>
  <w:style w:type="character" w:customStyle="1" w:styleId="49">
    <w:name w:val="批注主题 字符"/>
    <w:basedOn w:val="48"/>
    <w:link w:val="16"/>
    <w:semiHidden/>
    <w:qFormat/>
    <w:uiPriority w:val="99"/>
    <w:rPr>
      <w:rFonts w:asciiTheme="minorHAnsi" w:hAnsiTheme="minorHAnsi" w:eastAsiaTheme="minorEastAsia" w:cstheme="minorBidi"/>
      <w:b/>
      <w:bCs/>
      <w:kern w:val="2"/>
      <w:sz w:val="21"/>
      <w:szCs w:val="22"/>
    </w:rPr>
  </w:style>
  <w:style w:type="paragraph" w:customStyle="1" w:styleId="50">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1">
    <w:name w:val="Revision"/>
    <w:hidden/>
    <w:unhideWhenUsed/>
    <w:qFormat/>
    <w:uiPriority w:val="99"/>
    <w:rPr>
      <w:rFonts w:asciiTheme="minorHAnsi" w:hAnsiTheme="minorHAnsi" w:eastAsiaTheme="minorEastAsia" w:cstheme="minorBidi"/>
      <w:kern w:val="2"/>
      <w:sz w:val="21"/>
      <w:szCs w:val="22"/>
      <w:lang w:val="en-US" w:eastAsia="zh-CN" w:bidi="ar-SA"/>
    </w:rPr>
  </w:style>
  <w:style w:type="paragraph" w:styleId="52">
    <w:name w:val="List Paragraph"/>
    <w:basedOn w:val="1"/>
    <w:unhideWhenUsed/>
    <w:qFormat/>
    <w:uiPriority w:val="99"/>
    <w:pPr>
      <w:ind w:firstLine="420" w:firstLineChars="200"/>
    </w:pPr>
  </w:style>
  <w:style w:type="paragraph" w:customStyle="1" w:styleId="53">
    <w:name w:val="附录标题"/>
    <w:basedOn w:val="36"/>
    <w:next w:val="1"/>
    <w:qFormat/>
    <w:uiPriority w:val="0"/>
    <w:pPr>
      <w:spacing w:before="567" w:after="0"/>
    </w:pPr>
  </w:style>
  <w:style w:type="table" w:customStyle="1" w:styleId="54">
    <w:name w:val="Table Normal"/>
    <w:semiHidden/>
    <w:unhideWhenUsed/>
    <w:qFormat/>
    <w:uiPriority w:val="0"/>
    <w:pPr>
      <w:spacing w:after="160" w:line="278" w:lineRule="auto"/>
    </w:pPr>
    <w:rPr>
      <w:rFonts w:ascii="Arial" w:hAnsi="Arial" w:cs="Arial" w:eastAsiaTheme="minorEastAsia"/>
      <w:snapToGrid w:val="0"/>
      <w:color w:val="000000"/>
      <w:sz w:val="21"/>
      <w:szCs w:val="21"/>
      <w:lang w:eastAsia="en-US"/>
    </w:rPr>
    <w:tblPr>
      <w:tblCellMar>
        <w:top w:w="0" w:type="dxa"/>
        <w:left w:w="0" w:type="dxa"/>
        <w:bottom w:w="0" w:type="dxa"/>
        <w:right w:w="0" w:type="dxa"/>
      </w:tblCellMar>
    </w:tblPr>
  </w:style>
  <w:style w:type="paragraph" w:customStyle="1" w:styleId="55">
    <w:name w:val="Table Text"/>
    <w:basedOn w:val="1"/>
    <w:semiHidden/>
    <w:qFormat/>
    <w:uiPriority w:val="0"/>
    <w:pPr>
      <w:widowControl/>
      <w:kinsoku w:val="0"/>
      <w:autoSpaceDE w:val="0"/>
      <w:autoSpaceDN w:val="0"/>
      <w:adjustRightInd w:val="0"/>
      <w:snapToGrid w:val="0"/>
      <w:spacing w:after="160"/>
      <w:jc w:val="left"/>
      <w:textAlignment w:val="baseline"/>
    </w:pPr>
    <w:rPr>
      <w:rFonts w:ascii="微软雅黑" w:hAnsi="微软雅黑" w:eastAsia="微软雅黑" w:cs="微软雅黑"/>
      <w:snapToGrid w:val="0"/>
      <w:color w:val="000000"/>
      <w:kern w:val="0"/>
      <w:sz w:val="16"/>
      <w:szCs w:val="16"/>
      <w:lang w:eastAsia="en-US"/>
    </w:rPr>
  </w:style>
  <w:style w:type="character" w:customStyle="1" w:styleId="56">
    <w:name w:val="Unresolved Mention"/>
    <w:basedOn w:val="19"/>
    <w:semiHidden/>
    <w:unhideWhenUsed/>
    <w:qFormat/>
    <w:uiPriority w:val="99"/>
    <w:rPr>
      <w:color w:val="605E5C"/>
      <w:shd w:val="clear" w:color="auto" w:fill="E1DFDD"/>
    </w:rPr>
  </w:style>
  <w:style w:type="paragraph" w:customStyle="1" w:styleId="57">
    <w:name w:val="奇数页码"/>
    <w:qFormat/>
    <w:uiPriority w:val="0"/>
    <w:pPr>
      <w:ind w:right="227"/>
      <w:jc w:val="right"/>
    </w:pPr>
    <w:rPr>
      <w:rFonts w:ascii="宋体" w:hAnsi="宋体" w:eastAsia="宋体" w:cstheme="minorBidi"/>
      <w:kern w:val="2"/>
      <w:sz w:val="18"/>
      <w:szCs w:val="18"/>
      <w:lang w:val="en-US" w:eastAsia="zh-CN" w:bidi="ar-SA"/>
    </w:rPr>
  </w:style>
  <w:style w:type="paragraph" w:customStyle="1" w:styleId="58">
    <w:name w:val="偶数页码"/>
    <w:qFormat/>
    <w:uiPriority w:val="0"/>
    <w:pPr>
      <w:ind w:left="227"/>
    </w:pPr>
    <w:rPr>
      <w:rFonts w:ascii="宋体" w:hAnsi="宋体" w:eastAsia="宋体" w:cstheme="minorBidi"/>
      <w:kern w:val="2"/>
      <w:sz w:val="18"/>
      <w:szCs w:val="18"/>
      <w:lang w:val="en-US" w:eastAsia="zh-CN" w:bidi="ar-SA"/>
    </w:rPr>
  </w:style>
  <w:style w:type="character" w:customStyle="1" w:styleId="59">
    <w:name w:val="标题 1 字符"/>
    <w:basedOn w:val="19"/>
    <w:link w:val="2"/>
    <w:qFormat/>
    <w:uiPriority w:val="9"/>
    <w:rPr>
      <w:rFonts w:asciiTheme="minorHAnsi" w:hAnsiTheme="minorHAnsi" w:eastAsiaTheme="minorEastAsia" w:cstheme="minorBidi"/>
      <w:b/>
      <w:bCs/>
      <w:kern w:val="44"/>
      <w:sz w:val="44"/>
      <w:szCs w:val="44"/>
    </w:rPr>
  </w:style>
  <w:style w:type="character" w:customStyle="1" w:styleId="60">
    <w:name w:val="标题 5 字符"/>
    <w:basedOn w:val="19"/>
    <w:link w:val="6"/>
    <w:semiHidden/>
    <w:uiPriority w:val="9"/>
    <w:rPr>
      <w:rFonts w:ascii="宋体" w:hAnsi="宋体" w:cstheme="minorBidi"/>
      <w:b/>
      <w:bCs/>
      <w:kern w:val="2"/>
      <w:sz w:val="28"/>
      <w:szCs w:val="28"/>
    </w:rPr>
  </w:style>
  <w:style w:type="character" w:customStyle="1" w:styleId="61">
    <w:name w:val="页眉 字符"/>
    <w:basedOn w:val="19"/>
    <w:link w:val="11"/>
    <w:qFormat/>
    <w:uiPriority w:val="99"/>
    <w:rPr>
      <w:rFonts w:ascii="宋体" w:hAnsi="宋体" w:cstheme="minorBidi"/>
      <w:kern w:val="2"/>
      <w:sz w:val="18"/>
      <w:szCs w:val="18"/>
    </w:rPr>
  </w:style>
  <w:style w:type="paragraph" w:customStyle="1" w:styleId="62">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theme" Target="theme/theme1.xml"/><Relationship Id="rId24" Type="http://schemas.openxmlformats.org/officeDocument/2006/relationships/footer" Target="footer11.xml"/><Relationship Id="rId23" Type="http://schemas.openxmlformats.org/officeDocument/2006/relationships/header" Target="header11.xml"/><Relationship Id="rId22" Type="http://schemas.openxmlformats.org/officeDocument/2006/relationships/footer" Target="footer10.xml"/><Relationship Id="rId21" Type="http://schemas.openxmlformats.org/officeDocument/2006/relationships/header" Target="head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2EDED9-062C-471A-9BAE-4735BEA46285}">
  <ds:schemaRefs/>
</ds:datastoreItem>
</file>

<file path=docProps/app.xml><?xml version="1.0" encoding="utf-8"?>
<Properties xmlns="http://schemas.openxmlformats.org/officeDocument/2006/extended-properties" xmlns:vt="http://schemas.openxmlformats.org/officeDocument/2006/docPropsVTypes">
  <Template>Normal</Template>
  <Pages>12</Pages>
  <Words>3889</Words>
  <Characters>5125</Characters>
  <Lines>431</Lines>
  <Paragraphs>553</Paragraphs>
  <TotalTime>2</TotalTime>
  <ScaleCrop>false</ScaleCrop>
  <LinksUpToDate>false</LinksUpToDate>
  <CharactersWithSpaces>5466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2025-05-21T01:43:00Z</dcterms:created>
  <dc:creator>蔡 先生</dc:creator>
  <cp:lastModifiedBy>kdh</cp:lastModifiedBy>
  <cp:lastPrinted>2025-03-07T02:19:00Z</cp:lastPrinted>
  <dcterms:modified xsi:type="dcterms:W3CDTF">2025-12-12T02:45:01Z</dcterms:modified>
  <cp:revision>506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C1A9B821191843D2BCB8B37A78A738C6_13</vt:lpwstr>
  </property>
  <property fmtid="{D5CDD505-2E9C-101B-9397-08002B2CF9AE}" pid="4" name="KSOTemplateDocerSaveRecord">
    <vt:lpwstr>eyJoZGlkIjoiNTU0ZmIwYTQ3NzlmZGUxZmU3Zjk0M2IyZTNmM2IxNjAiLCJ1c2VySWQiOiIxMTg1NDkyMTU3In0=</vt:lpwstr>
  </property>
</Properties>
</file>